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A79D0" w14:textId="45FB8895" w:rsidR="00D80951" w:rsidRPr="004E4FD5" w:rsidRDefault="00BE17CF" w:rsidP="0066636D">
      <w:pPr>
        <w:pStyle w:val="a7"/>
      </w:pPr>
      <w:r w:rsidRPr="004E4FD5">
        <w:t xml:space="preserve">Мягкая оценка согласия ансамблевых языковых моделей </w:t>
      </w:r>
      <w:r w:rsidRPr="0066636D">
        <w:t>при</w:t>
      </w:r>
      <w:r w:rsidRPr="004E4FD5">
        <w:t xml:space="preserve"> автоматической разметке текстовых данных</w:t>
      </w:r>
    </w:p>
    <w:p w14:paraId="51E5AD6A" w14:textId="713B8AFE" w:rsidR="00D80951" w:rsidRPr="004E4FD5" w:rsidRDefault="00BE17CF" w:rsidP="0066636D">
      <w:pPr>
        <w:pStyle w:val="aa"/>
      </w:pPr>
      <w:r w:rsidRPr="004E4FD5">
        <w:t>И.</w:t>
      </w:r>
      <w:r w:rsidR="0066636D">
        <w:t xml:space="preserve"> </w:t>
      </w:r>
      <w:r w:rsidRPr="004E4FD5">
        <w:t>Р</w:t>
      </w:r>
      <w:r w:rsidR="0066636D">
        <w:t>.</w:t>
      </w:r>
      <w:r w:rsidR="0066636D" w:rsidRPr="0066636D">
        <w:t xml:space="preserve"> Мусин</w:t>
      </w:r>
    </w:p>
    <w:p w14:paraId="48546E24" w14:textId="14501FF9" w:rsidR="00BE17CF" w:rsidRPr="00255D12" w:rsidRDefault="00BE17CF" w:rsidP="009F446D">
      <w:pPr>
        <w:pStyle w:val="ac"/>
        <w:rPr>
          <w:i/>
          <w:lang w:val="ru-RU"/>
        </w:rPr>
      </w:pPr>
      <w:r w:rsidRPr="00255D12">
        <w:rPr>
          <w:i/>
          <w:lang w:val="ru-RU"/>
        </w:rPr>
        <w:t xml:space="preserve">Санкт-Петербургский государственный электротехнический университет </w:t>
      </w:r>
      <w:r w:rsidR="0066636D">
        <w:rPr>
          <w:i/>
          <w:lang w:val="ru-RU"/>
        </w:rPr>
        <w:br/>
      </w:r>
      <w:r w:rsidRPr="00255D12">
        <w:rPr>
          <w:i/>
          <w:lang w:val="ru-RU"/>
        </w:rPr>
        <w:t xml:space="preserve">«ЛЭТИ» им. В.И. Ульянова (Ленина) </w:t>
      </w:r>
    </w:p>
    <w:p w14:paraId="2C014C2A" w14:textId="75478FD1" w:rsidR="009F446D" w:rsidRPr="0066636D" w:rsidRDefault="00BE17CF" w:rsidP="0066636D">
      <w:pPr>
        <w:pStyle w:val="ac"/>
      </w:pPr>
      <w:proofErr w:type="spellStart"/>
      <w:r w:rsidRPr="004E4FD5">
        <w:t>im</w:t>
      </w:r>
      <w:proofErr w:type="spellEnd"/>
      <w:r w:rsidRPr="00255D12">
        <w:rPr>
          <w:lang w:val="ru-RU"/>
        </w:rPr>
        <w:t>_</w:t>
      </w:r>
      <w:proofErr w:type="spellStart"/>
      <w:r w:rsidRPr="004E4FD5">
        <w:t>rasulev</w:t>
      </w:r>
      <w:proofErr w:type="spellEnd"/>
      <w:r w:rsidRPr="00255D12">
        <w:rPr>
          <w:lang w:val="ru-RU"/>
        </w:rPr>
        <w:t>@</w:t>
      </w:r>
      <w:proofErr w:type="spellStart"/>
      <w:r w:rsidRPr="004E4FD5">
        <w:t>vk</w:t>
      </w:r>
      <w:proofErr w:type="spellEnd"/>
      <w:r w:rsidRPr="00255D12">
        <w:rPr>
          <w:lang w:val="ru-RU"/>
        </w:rPr>
        <w:t>.</w:t>
      </w:r>
      <w:r w:rsidRPr="004E4FD5">
        <w:t>com</w:t>
      </w:r>
    </w:p>
    <w:p w14:paraId="4C865962" w14:textId="77777777" w:rsidR="009F446D" w:rsidRPr="00255D12" w:rsidRDefault="009F446D" w:rsidP="009F446D">
      <w:pPr>
        <w:pStyle w:val="ac"/>
        <w:rPr>
          <w:lang w:val="ru-RU"/>
        </w:rPr>
        <w:sectPr w:rsidR="009F446D" w:rsidRPr="00255D12" w:rsidSect="0066636D">
          <w:type w:val="continuous"/>
          <w:pgSz w:w="11906" w:h="16838" w:code="9"/>
          <w:pgMar w:top="907" w:right="907" w:bottom="1440" w:left="907" w:header="709" w:footer="709" w:gutter="0"/>
          <w:cols w:space="708"/>
          <w:docGrid w:linePitch="360"/>
        </w:sectPr>
      </w:pPr>
    </w:p>
    <w:p w14:paraId="3E2406AC" w14:textId="4ECC5E0F" w:rsidR="0013123C" w:rsidRPr="004E4FD5" w:rsidRDefault="0037125D" w:rsidP="00791CA2">
      <w:pPr>
        <w:pStyle w:val="ad"/>
        <w:rPr>
          <w:rFonts w:eastAsia="MS Mincho"/>
        </w:rPr>
      </w:pPr>
      <w:r w:rsidRPr="004E4FD5">
        <w:rPr>
          <w:i/>
        </w:rPr>
        <w:lastRenderedPageBreak/>
        <w:t xml:space="preserve">Аннотация. </w:t>
      </w:r>
      <w:r w:rsidRPr="004E4FD5">
        <w:rPr>
          <w:rFonts w:eastAsia="MS Mincho"/>
        </w:rPr>
        <w:t>В работе рассматривается задача автоматической разметки новостных текстов с использованием ансамбля из четырёх больших языковых моделей. Предложена метрика agreement rate — мягкая мера согласия ансамбля, определяемая через нормированное среднее абсолютное отклонение тональных оценок. Разработана и апробирована система ELNA (Ensemble LLM News Analyzer), обеспечивающая классификацию текстов по шести тематическим категориям, четырём типам срочности и числовую оценку тональности. Экспериментальная верификация проведена на корпусе из 5 702 криптовалютных и финансовых новостей. Средний уровень межмодельного согласия составил 0,942 при стандартном отклонении 0,035. Выявлена умеренная положительная корреляция метрики согласия с абсолютным значением тональности, интерпретируемая как следствие полярности эмоциональных оценок. Предложен практический критерий качества разметки: документы с низким уровнем согласия рекомендуются к ручной экспертной верификации.</w:t>
      </w:r>
    </w:p>
    <w:p w14:paraId="2447BAC8" w14:textId="0480AD47" w:rsidR="00BE17CF" w:rsidRPr="004E4FD5" w:rsidRDefault="00BE17CF" w:rsidP="000924AC">
      <w:pPr>
        <w:pStyle w:val="ae"/>
        <w:rPr>
          <w:rFonts w:eastAsia="MS Mincho"/>
        </w:rPr>
      </w:pPr>
      <w:r w:rsidRPr="004E4FD5">
        <w:t xml:space="preserve">Ключевые слова: </w:t>
      </w:r>
      <w:r w:rsidRPr="004E4FD5">
        <w:rPr>
          <w:rFonts w:eastAsia="MS Mincho"/>
        </w:rPr>
        <w:t xml:space="preserve">большие языковые модели, ансамблевое обучение, мягкие измерения, согласие моделей, автоматическая </w:t>
      </w:r>
      <w:r w:rsidRPr="000924AC">
        <w:rPr>
          <w:rFonts w:eastAsia="MS Mincho"/>
        </w:rPr>
        <w:t>разметка</w:t>
      </w:r>
      <w:r w:rsidRPr="004E4FD5">
        <w:rPr>
          <w:rFonts w:eastAsia="MS Mincho"/>
        </w:rPr>
        <w:t xml:space="preserve"> текста, обработка естестве</w:t>
      </w:r>
      <w:r w:rsidR="000924AC">
        <w:rPr>
          <w:rFonts w:eastAsia="MS Mincho"/>
        </w:rPr>
        <w:t>нного языка, анализ тональности</w:t>
      </w:r>
    </w:p>
    <w:p w14:paraId="071A81BE" w14:textId="77777777" w:rsidR="005921F1" w:rsidRPr="004E4FD5" w:rsidRDefault="005921F1" w:rsidP="005921F1">
      <w:pPr>
        <w:pStyle w:val="1"/>
        <w:numPr>
          <w:ilvl w:val="0"/>
          <w:numId w:val="2"/>
        </w:numPr>
        <w:tabs>
          <w:tab w:val="clear" w:pos="576"/>
        </w:tabs>
        <w:ind w:firstLine="215"/>
      </w:pPr>
      <w:r w:rsidRPr="004E4FD5">
        <w:t>Введение</w:t>
      </w:r>
    </w:p>
    <w:p w14:paraId="2903046C" w14:textId="77777777" w:rsidR="00BE0C44" w:rsidRPr="004E4FD5" w:rsidRDefault="00BE0C44" w:rsidP="000924AC">
      <w:pPr>
        <w:pStyle w:val="a3"/>
      </w:pPr>
      <w:r w:rsidRPr="004E4FD5">
        <w:t>Автоматическая разметка текстовых корпусов является одной из базовых задач обработки естественного языка и приобретает особую значимость в условиях непрерывно растущих объёмов информации [7]. В финансовой сфере актуальность задачи определяется необходимостью оперативного анализа новостного фона для систем поддержки принятия торговых решений.</w:t>
      </w:r>
    </w:p>
    <w:p w14:paraId="73CD6CBC" w14:textId="77777777" w:rsidR="00BE0C44" w:rsidRPr="004E4FD5" w:rsidRDefault="00BE0C44" w:rsidP="000924AC">
      <w:pPr>
        <w:pStyle w:val="a3"/>
      </w:pPr>
      <w:r w:rsidRPr="004E4FD5">
        <w:t xml:space="preserve">Широкое распространение больших языковых моделей (LLM) открыло возможность перехода от ручной разметки к малому числу обучающих примеров (few-shot) [4]. Однако отдельная LLM не является детерминированным классификатором: её ответ существенно зависит от архитектуры, предобучения и </w:t>
      </w:r>
      <w:r w:rsidRPr="004E4FD5">
        <w:lastRenderedPageBreak/>
        <w:t>формулировки запроса [2]. Это порождает задачу оценки надёжности автоматической разметки.</w:t>
      </w:r>
    </w:p>
    <w:p w14:paraId="2AD16FC5" w14:textId="33A657C8" w:rsidR="00BE0C44" w:rsidRPr="004E4FD5" w:rsidRDefault="00BE0C44" w:rsidP="000924AC">
      <w:pPr>
        <w:pStyle w:val="a3"/>
      </w:pPr>
      <w:r w:rsidRPr="004E4FD5">
        <w:t xml:space="preserve">Ансамблевые методы давно доказали свою эффективность в задачах классификации [6]: объединение независимых классификаторов снижает дисперсию ошибки. </w:t>
      </w:r>
      <w:r w:rsidR="004E4FD5" w:rsidRPr="004E4FD5">
        <w:t>П</w:t>
      </w:r>
      <w:r w:rsidRPr="004E4FD5">
        <w:t>еренос этого приема на ансамбли современных языковых моделей — вполне естественный шаг</w:t>
      </w:r>
      <w:r w:rsidR="004E4FD5" w:rsidRPr="004E4FD5">
        <w:t xml:space="preserve"> </w:t>
      </w:r>
      <w:r w:rsidRPr="004E4FD5">
        <w:t>[9</w:t>
      </w:r>
      <w:r w:rsidR="000924AC">
        <w:t>,</w:t>
      </w:r>
      <w:r w:rsidRPr="004E4FD5">
        <w:t xml:space="preserve"> 1].</w:t>
      </w:r>
    </w:p>
    <w:p w14:paraId="7993FE1F" w14:textId="5206EAD3" w:rsidR="009739AF" w:rsidRPr="004E4FD5" w:rsidRDefault="009739AF" w:rsidP="000924AC">
      <w:pPr>
        <w:pStyle w:val="a3"/>
      </w:pPr>
      <w:r w:rsidRPr="004E4FD5">
        <w:t>Цель работы разработать и верифицировать мягкую метрику межмодельного согласия ансамбля LLM применительно к задаче тематической и тональной разметки новостных текстов.</w:t>
      </w:r>
    </w:p>
    <w:p w14:paraId="08EE2021" w14:textId="77777777" w:rsidR="009739AF" w:rsidRPr="004E4FD5" w:rsidRDefault="009739AF" w:rsidP="000924AC">
      <w:pPr>
        <w:pStyle w:val="a3"/>
      </w:pPr>
      <w:r w:rsidRPr="004E4FD5">
        <w:t>Задачи:</w:t>
      </w:r>
    </w:p>
    <w:p w14:paraId="325356EC" w14:textId="40E6B0C9" w:rsidR="009739AF" w:rsidRPr="004E4FD5" w:rsidRDefault="009739AF" w:rsidP="000924AC">
      <w:pPr>
        <w:pStyle w:val="-"/>
        <w:numPr>
          <w:ilvl w:val="0"/>
          <w:numId w:val="37"/>
        </w:numPr>
        <w:tabs>
          <w:tab w:val="clear" w:pos="288"/>
          <w:tab w:val="left" w:pos="709"/>
        </w:tabs>
        <w:ind w:left="714" w:hanging="357"/>
      </w:pPr>
      <w:r w:rsidRPr="004E4FD5">
        <w:t>Разработать формализованную метрику AR как меру неопределённости ансамблевой классификации.</w:t>
      </w:r>
    </w:p>
    <w:p w14:paraId="423A79C5" w14:textId="6D18DE37" w:rsidR="009739AF" w:rsidRPr="004E4FD5" w:rsidRDefault="009739AF" w:rsidP="000924AC">
      <w:pPr>
        <w:pStyle w:val="-"/>
        <w:numPr>
          <w:ilvl w:val="0"/>
          <w:numId w:val="37"/>
        </w:numPr>
        <w:tabs>
          <w:tab w:val="clear" w:pos="288"/>
          <w:tab w:val="left" w:pos="709"/>
        </w:tabs>
        <w:ind w:left="714" w:hanging="357"/>
      </w:pPr>
      <w:r w:rsidRPr="004E4FD5">
        <w:t xml:space="preserve">Реализовать параллельный конвейер </w:t>
      </w:r>
      <w:proofErr w:type="spellStart"/>
      <w:r w:rsidRPr="004E4FD5">
        <w:t>мультиагентной</w:t>
      </w:r>
      <w:proofErr w:type="spellEnd"/>
      <w:r w:rsidRPr="004E4FD5">
        <w:t xml:space="preserve"> разметки на реальном корпусе.</w:t>
      </w:r>
    </w:p>
    <w:p w14:paraId="039F0F8E" w14:textId="6E11E3F5" w:rsidR="009739AF" w:rsidRPr="004E4FD5" w:rsidRDefault="009739AF" w:rsidP="000924AC">
      <w:pPr>
        <w:pStyle w:val="-"/>
        <w:numPr>
          <w:ilvl w:val="0"/>
          <w:numId w:val="37"/>
        </w:numPr>
        <w:tabs>
          <w:tab w:val="clear" w:pos="288"/>
          <w:tab w:val="left" w:pos="709"/>
        </w:tabs>
        <w:ind w:left="714" w:hanging="357"/>
      </w:pPr>
      <w:r w:rsidRPr="004E4FD5">
        <w:t>Исследовать зависимость AR от тематики, типа срочности и оценки значимости.</w:t>
      </w:r>
    </w:p>
    <w:p w14:paraId="33C36BB8" w14:textId="77777777" w:rsidR="005921F1" w:rsidRPr="004E4FD5" w:rsidRDefault="005921F1" w:rsidP="005921F1">
      <w:pPr>
        <w:pStyle w:val="1"/>
        <w:numPr>
          <w:ilvl w:val="0"/>
          <w:numId w:val="2"/>
        </w:numPr>
        <w:tabs>
          <w:tab w:val="clear" w:pos="576"/>
        </w:tabs>
        <w:ind w:firstLine="215"/>
      </w:pPr>
      <w:r w:rsidRPr="004E4FD5">
        <w:t>Методология</w:t>
      </w:r>
    </w:p>
    <w:p w14:paraId="6F46F7E1" w14:textId="77777777" w:rsidR="0048059B" w:rsidRPr="004E4FD5" w:rsidRDefault="0048059B" w:rsidP="000924AC">
      <w:pPr>
        <w:pStyle w:val="a3"/>
      </w:pPr>
      <w:r w:rsidRPr="004E4FD5">
        <w:t>Система ELNA (Ensemble LLM News Analyzer) реализует параллельный конвейер обработки, в котором каждый документ независимо анализируется четырьмя LLM-агентами. Финальные метки формируются посредством агрегации индивидуальных голосов, как показано на рис. 1.</w:t>
      </w:r>
    </w:p>
    <w:p w14:paraId="1D51A0A3" w14:textId="1B815E04" w:rsidR="00A33822" w:rsidRPr="004E4FD5" w:rsidRDefault="0048059B" w:rsidP="000924AC">
      <w:pPr>
        <w:pStyle w:val="a3"/>
      </w:pPr>
      <w:r w:rsidRPr="004E4FD5">
        <w:t>Надёжность конвейера обеспечивается двумя механизмами. Каждый запрос к агенту ограничен таймаутом в 45 секунд: агент, не ответивший в срок, исключается из агрегации для данного документа, тогда как остальные продолжают формировать консенсус. При трёх последовательных ошибках агент деактивируется на всю сессию, что предотвращает накопление задержек при исчерпании API-лимитов</w:t>
      </w:r>
      <w:r w:rsidR="00F94627">
        <w:t>,</w:t>
      </w:r>
      <w:bookmarkStart w:id="0" w:name="_GoBack"/>
      <w:bookmarkEnd w:id="0"/>
      <w:r w:rsidRPr="004E4FD5">
        <w:t xml:space="preserve"> именно этим объясняется высокий процент ошибок у Grok 4 </w:t>
      </w:r>
      <w:proofErr w:type="spellStart"/>
      <w:r w:rsidRPr="004E4FD5">
        <w:t>Fast</w:t>
      </w:r>
      <w:proofErr w:type="spellEnd"/>
      <w:r w:rsidRPr="004E4FD5">
        <w:t xml:space="preserve"> (табл. 2).</w:t>
      </w:r>
    </w:p>
    <w:p w14:paraId="591FD5F9" w14:textId="77777777" w:rsidR="00A33822" w:rsidRPr="004E4FD5" w:rsidRDefault="00A33822" w:rsidP="0048059B">
      <w:pPr>
        <w:ind w:firstLine="709"/>
        <w:jc w:val="both"/>
        <w:sectPr w:rsidR="00A33822" w:rsidRPr="004E4FD5" w:rsidSect="00BE0C44">
          <w:type w:val="continuous"/>
          <w:pgSz w:w="11906" w:h="16838" w:code="9"/>
          <w:pgMar w:top="907" w:right="907" w:bottom="1440" w:left="907" w:header="709" w:footer="709" w:gutter="0"/>
          <w:cols w:num="2" w:space="340"/>
          <w:docGrid w:linePitch="360"/>
        </w:sectPr>
      </w:pPr>
    </w:p>
    <w:p w14:paraId="4616C3B5" w14:textId="77777777" w:rsidR="00BE0C44" w:rsidRPr="004E4FD5" w:rsidRDefault="00BE0C44" w:rsidP="00BE0C44">
      <w:pPr>
        <w:pStyle w:val="a3"/>
        <w:spacing w:after="0"/>
      </w:pPr>
    </w:p>
    <w:p w14:paraId="725EBEC2" w14:textId="39BCA431" w:rsidR="00BE0C44" w:rsidRPr="004E4FD5" w:rsidRDefault="00BE0C44" w:rsidP="00BE0C44">
      <w:pPr>
        <w:pStyle w:val="a3"/>
        <w:spacing w:before="120"/>
        <w:ind w:firstLine="0"/>
        <w:jc w:val="center"/>
      </w:pPr>
      <w:r w:rsidRPr="004E4FD5">
        <w:rPr>
          <w:noProof/>
          <w:lang w:eastAsia="ru-RU"/>
        </w:rPr>
        <w:lastRenderedPageBreak/>
        <w:drawing>
          <wp:inline distT="0" distB="0" distL="0" distR="0" wp14:anchorId="5C9843E4" wp14:editId="009A15D9">
            <wp:extent cx="5838092" cy="464367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840250" cy="4645393"/>
                    </a:xfrm>
                    <a:prstGeom prst="rect">
                      <a:avLst/>
                    </a:prstGeom>
                  </pic:spPr>
                </pic:pic>
              </a:graphicData>
            </a:graphic>
          </wp:inline>
        </w:drawing>
      </w:r>
    </w:p>
    <w:p w14:paraId="7727FCBE" w14:textId="12B87619" w:rsidR="000924AC" w:rsidRDefault="000924AC" w:rsidP="000924AC">
      <w:pPr>
        <w:pStyle w:val="a"/>
      </w:pPr>
      <w:r w:rsidRPr="004E4FD5">
        <w:t>Архитектура конвейера системы ELNA</w:t>
      </w:r>
    </w:p>
    <w:p w14:paraId="5417EF32" w14:textId="77777777" w:rsidR="000924AC" w:rsidRPr="004E4FD5" w:rsidRDefault="000924AC" w:rsidP="00BE0C44">
      <w:pPr>
        <w:pStyle w:val="a3"/>
        <w:spacing w:before="120"/>
        <w:ind w:firstLine="0"/>
        <w:jc w:val="center"/>
        <w:sectPr w:rsidR="000924AC" w:rsidRPr="004E4FD5" w:rsidSect="000924AC">
          <w:type w:val="continuous"/>
          <w:pgSz w:w="11906" w:h="16838" w:code="9"/>
          <w:pgMar w:top="907" w:right="907" w:bottom="1440" w:left="907" w:header="709" w:footer="709" w:gutter="0"/>
          <w:cols w:space="340"/>
          <w:docGrid w:linePitch="360"/>
        </w:sectPr>
      </w:pPr>
    </w:p>
    <w:p w14:paraId="7D81AB34" w14:textId="7EE737DE" w:rsidR="005921F1" w:rsidRPr="004E4FD5" w:rsidRDefault="005921F1" w:rsidP="005921F1">
      <w:pPr>
        <w:pStyle w:val="1"/>
        <w:numPr>
          <w:ilvl w:val="0"/>
          <w:numId w:val="2"/>
        </w:numPr>
        <w:tabs>
          <w:tab w:val="clear" w:pos="576"/>
        </w:tabs>
        <w:ind w:firstLine="215"/>
      </w:pPr>
      <w:r w:rsidRPr="004E4FD5">
        <w:lastRenderedPageBreak/>
        <w:t>Структура разметки</w:t>
      </w:r>
    </w:p>
    <w:p w14:paraId="44FAF99B" w14:textId="0FCC35F8" w:rsidR="0048059B" w:rsidRPr="004E4FD5" w:rsidRDefault="00A33822" w:rsidP="000924AC">
      <w:pPr>
        <w:pStyle w:val="a3"/>
        <w:rPr>
          <w:b/>
        </w:rPr>
      </w:pPr>
      <w:r w:rsidRPr="004E4FD5">
        <w:t xml:space="preserve">Каждый агент классифицирует документ по шести полям. Для тематической категории введена система кодификации К1К6, описанная в табл. 1. Тип срочности принимает четыре значения: срочно (Breaking), Запланировано (Scheduled), Прогноз (Prediction), Обзор (Recap). Тональность </w:t>
      </w:r>
      <m:oMath>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∈[-1,0;1,0]</m:t>
        </m:r>
      </m:oMath>
      <w:r w:rsidR="00993DAB" w:rsidRPr="004E4FD5">
        <w:t xml:space="preserve">, значимость </w:t>
      </w: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∈{0,1,…,10}</m:t>
        </m:r>
      </m:oMath>
      <w:r w:rsidR="00993DAB" w:rsidRPr="004E4FD5">
        <w:t>.</w:t>
      </w:r>
    </w:p>
    <w:p w14:paraId="5287B417" w14:textId="77777777" w:rsidR="0048059B" w:rsidRPr="004E4FD5" w:rsidRDefault="0048059B" w:rsidP="0048059B">
      <w:pPr>
        <w:pStyle w:val="a1"/>
      </w:pPr>
    </w:p>
    <w:tbl>
      <w:tblPr>
        <w:tblStyle w:val="af0"/>
        <w:tblW w:w="4876" w:type="dxa"/>
        <w:jc w:val="center"/>
        <w:tblLook w:val="04A0" w:firstRow="1" w:lastRow="0" w:firstColumn="1" w:lastColumn="0" w:noHBand="0" w:noVBand="1"/>
      </w:tblPr>
      <w:tblGrid>
        <w:gridCol w:w="562"/>
        <w:gridCol w:w="4314"/>
      </w:tblGrid>
      <w:tr w:rsidR="004E4FD5" w:rsidRPr="004E4FD5" w14:paraId="6FAA01A2" w14:textId="77777777" w:rsidTr="0048059B">
        <w:trPr>
          <w:jc w:val="center"/>
        </w:trPr>
        <w:tc>
          <w:tcPr>
            <w:tcW w:w="562" w:type="dxa"/>
          </w:tcPr>
          <w:p w14:paraId="6B469822" w14:textId="6FAE367A" w:rsidR="0048059B" w:rsidRPr="004E4FD5" w:rsidRDefault="0048059B" w:rsidP="0048059B">
            <w:pPr>
              <w:pStyle w:val="af1"/>
              <w:rPr>
                <w:b/>
              </w:rPr>
            </w:pPr>
            <w:r w:rsidRPr="004E4FD5">
              <w:rPr>
                <w:b/>
                <w:bCs/>
                <w:szCs w:val="16"/>
              </w:rPr>
              <w:t>Код</w:t>
            </w:r>
          </w:p>
        </w:tc>
        <w:tc>
          <w:tcPr>
            <w:tcW w:w="4314" w:type="dxa"/>
          </w:tcPr>
          <w:p w14:paraId="0E472E9D" w14:textId="096CCE66" w:rsidR="0048059B" w:rsidRPr="004E4FD5" w:rsidRDefault="0048059B" w:rsidP="0048059B">
            <w:pPr>
              <w:pStyle w:val="af1"/>
            </w:pPr>
            <w:r w:rsidRPr="004E4FD5">
              <w:rPr>
                <w:b/>
                <w:bCs/>
                <w:szCs w:val="16"/>
              </w:rPr>
              <w:t>Тематическая категория</w:t>
            </w:r>
          </w:p>
        </w:tc>
      </w:tr>
      <w:tr w:rsidR="004E4FD5" w:rsidRPr="004E4FD5" w14:paraId="34448EFF" w14:textId="77777777" w:rsidTr="0048059B">
        <w:trPr>
          <w:jc w:val="center"/>
        </w:trPr>
        <w:tc>
          <w:tcPr>
            <w:tcW w:w="562" w:type="dxa"/>
          </w:tcPr>
          <w:p w14:paraId="1AFDFC34" w14:textId="2E36DE12" w:rsidR="0048059B" w:rsidRPr="004E4FD5" w:rsidRDefault="0048059B" w:rsidP="0048059B">
            <w:pPr>
              <w:pStyle w:val="af1"/>
              <w:rPr>
                <w:b/>
              </w:rPr>
            </w:pPr>
            <w:r w:rsidRPr="004E4FD5">
              <w:rPr>
                <w:szCs w:val="16"/>
              </w:rPr>
              <w:t>К1</w:t>
            </w:r>
          </w:p>
        </w:tc>
        <w:tc>
          <w:tcPr>
            <w:tcW w:w="4314" w:type="dxa"/>
          </w:tcPr>
          <w:p w14:paraId="1CC1075F" w14:textId="09F2292A" w:rsidR="0048059B" w:rsidRPr="004E4FD5" w:rsidRDefault="0048059B" w:rsidP="0048059B">
            <w:pPr>
              <w:pStyle w:val="af1"/>
            </w:pPr>
            <w:r w:rsidRPr="004E4FD5">
              <w:rPr>
                <w:szCs w:val="16"/>
              </w:rPr>
              <w:t>Регулирование и государственная политика</w:t>
            </w:r>
          </w:p>
        </w:tc>
      </w:tr>
      <w:tr w:rsidR="004E4FD5" w:rsidRPr="004E4FD5" w14:paraId="62B1653F" w14:textId="77777777" w:rsidTr="0048059B">
        <w:trPr>
          <w:jc w:val="center"/>
        </w:trPr>
        <w:tc>
          <w:tcPr>
            <w:tcW w:w="562" w:type="dxa"/>
          </w:tcPr>
          <w:p w14:paraId="06B7F0AF" w14:textId="2A21F4D2" w:rsidR="0048059B" w:rsidRPr="004E4FD5" w:rsidRDefault="0048059B" w:rsidP="0048059B">
            <w:pPr>
              <w:pStyle w:val="af1"/>
              <w:rPr>
                <w:b/>
              </w:rPr>
            </w:pPr>
            <w:r w:rsidRPr="004E4FD5">
              <w:rPr>
                <w:szCs w:val="16"/>
              </w:rPr>
              <w:t>К2</w:t>
            </w:r>
          </w:p>
        </w:tc>
        <w:tc>
          <w:tcPr>
            <w:tcW w:w="4314" w:type="dxa"/>
          </w:tcPr>
          <w:p w14:paraId="599921C5" w14:textId="73B9D77B" w:rsidR="0048059B" w:rsidRPr="004E4FD5" w:rsidRDefault="0048059B" w:rsidP="0048059B">
            <w:pPr>
              <w:pStyle w:val="af1"/>
            </w:pPr>
            <w:r w:rsidRPr="004E4FD5">
              <w:rPr>
                <w:szCs w:val="16"/>
              </w:rPr>
              <w:t>Рыночная динамика и волатильность</w:t>
            </w:r>
          </w:p>
        </w:tc>
      </w:tr>
      <w:tr w:rsidR="004E4FD5" w:rsidRPr="004E4FD5" w14:paraId="113DB840" w14:textId="77777777" w:rsidTr="0048059B">
        <w:trPr>
          <w:jc w:val="center"/>
        </w:trPr>
        <w:tc>
          <w:tcPr>
            <w:tcW w:w="562" w:type="dxa"/>
          </w:tcPr>
          <w:p w14:paraId="62BA418E" w14:textId="3B8C768E" w:rsidR="0048059B" w:rsidRPr="004E4FD5" w:rsidRDefault="0048059B" w:rsidP="0048059B">
            <w:pPr>
              <w:pStyle w:val="af1"/>
              <w:rPr>
                <w:b/>
              </w:rPr>
            </w:pPr>
            <w:r w:rsidRPr="004E4FD5">
              <w:rPr>
                <w:szCs w:val="16"/>
              </w:rPr>
              <w:t>К3</w:t>
            </w:r>
          </w:p>
        </w:tc>
        <w:tc>
          <w:tcPr>
            <w:tcW w:w="4314" w:type="dxa"/>
          </w:tcPr>
          <w:p w14:paraId="1E71DD26" w14:textId="16ACFC95" w:rsidR="0048059B" w:rsidRPr="004E4FD5" w:rsidRDefault="0048059B" w:rsidP="0048059B">
            <w:pPr>
              <w:pStyle w:val="af1"/>
            </w:pPr>
            <w:r w:rsidRPr="004E4FD5">
              <w:rPr>
                <w:szCs w:val="16"/>
              </w:rPr>
              <w:t>Технологии и кибербезопасность</w:t>
            </w:r>
          </w:p>
        </w:tc>
      </w:tr>
      <w:tr w:rsidR="004E4FD5" w:rsidRPr="004E4FD5" w14:paraId="7983F037" w14:textId="77777777" w:rsidTr="0048059B">
        <w:trPr>
          <w:jc w:val="center"/>
        </w:trPr>
        <w:tc>
          <w:tcPr>
            <w:tcW w:w="562" w:type="dxa"/>
          </w:tcPr>
          <w:p w14:paraId="18878DFA" w14:textId="05628F30" w:rsidR="0048059B" w:rsidRPr="004E4FD5" w:rsidRDefault="0048059B" w:rsidP="0048059B">
            <w:pPr>
              <w:pStyle w:val="af1"/>
              <w:rPr>
                <w:b/>
              </w:rPr>
            </w:pPr>
            <w:r w:rsidRPr="004E4FD5">
              <w:rPr>
                <w:szCs w:val="16"/>
              </w:rPr>
              <w:t>К4</w:t>
            </w:r>
          </w:p>
        </w:tc>
        <w:tc>
          <w:tcPr>
            <w:tcW w:w="4314" w:type="dxa"/>
          </w:tcPr>
          <w:p w14:paraId="235E738F" w14:textId="311BDA9D" w:rsidR="0048059B" w:rsidRPr="004E4FD5" w:rsidRDefault="0048059B" w:rsidP="0048059B">
            <w:pPr>
              <w:pStyle w:val="af1"/>
            </w:pPr>
            <w:r w:rsidRPr="004E4FD5">
              <w:rPr>
                <w:szCs w:val="16"/>
              </w:rPr>
              <w:t>Внедрение и партнёрства</w:t>
            </w:r>
          </w:p>
        </w:tc>
      </w:tr>
      <w:tr w:rsidR="004E4FD5" w:rsidRPr="004E4FD5" w14:paraId="5269BC55" w14:textId="77777777" w:rsidTr="0048059B">
        <w:trPr>
          <w:jc w:val="center"/>
        </w:trPr>
        <w:tc>
          <w:tcPr>
            <w:tcW w:w="562" w:type="dxa"/>
          </w:tcPr>
          <w:p w14:paraId="4833428F" w14:textId="149E7907" w:rsidR="0048059B" w:rsidRPr="004E4FD5" w:rsidRDefault="0048059B" w:rsidP="0048059B">
            <w:pPr>
              <w:pStyle w:val="af1"/>
              <w:rPr>
                <w:b/>
              </w:rPr>
            </w:pPr>
            <w:r w:rsidRPr="004E4FD5">
              <w:rPr>
                <w:szCs w:val="16"/>
              </w:rPr>
              <w:t>К5</w:t>
            </w:r>
          </w:p>
        </w:tc>
        <w:tc>
          <w:tcPr>
            <w:tcW w:w="4314" w:type="dxa"/>
          </w:tcPr>
          <w:p w14:paraId="718D3CFD" w14:textId="1E95B9AB" w:rsidR="0048059B" w:rsidRPr="004E4FD5" w:rsidRDefault="0048059B" w:rsidP="0048059B">
            <w:pPr>
              <w:pStyle w:val="af1"/>
            </w:pPr>
            <w:r w:rsidRPr="004E4FD5">
              <w:rPr>
                <w:szCs w:val="16"/>
              </w:rPr>
              <w:t>Макроэкономика и геополитика</w:t>
            </w:r>
          </w:p>
        </w:tc>
      </w:tr>
      <w:tr w:rsidR="0048059B" w:rsidRPr="004E4FD5" w14:paraId="761639D2" w14:textId="77777777" w:rsidTr="0048059B">
        <w:trPr>
          <w:jc w:val="center"/>
        </w:trPr>
        <w:tc>
          <w:tcPr>
            <w:tcW w:w="562" w:type="dxa"/>
          </w:tcPr>
          <w:p w14:paraId="6CB646C6" w14:textId="71008A78" w:rsidR="0048059B" w:rsidRPr="004E4FD5" w:rsidRDefault="0048059B" w:rsidP="0048059B">
            <w:pPr>
              <w:pStyle w:val="af1"/>
              <w:rPr>
                <w:b/>
              </w:rPr>
            </w:pPr>
            <w:r w:rsidRPr="004E4FD5">
              <w:rPr>
                <w:szCs w:val="16"/>
              </w:rPr>
              <w:t>К6</w:t>
            </w:r>
          </w:p>
        </w:tc>
        <w:tc>
          <w:tcPr>
            <w:tcW w:w="4314" w:type="dxa"/>
          </w:tcPr>
          <w:p w14:paraId="27C61B68" w14:textId="3CCD0405" w:rsidR="0048059B" w:rsidRPr="004E4FD5" w:rsidRDefault="0048059B" w:rsidP="0048059B">
            <w:pPr>
              <w:pStyle w:val="af1"/>
            </w:pPr>
            <w:r w:rsidRPr="004E4FD5">
              <w:rPr>
                <w:szCs w:val="16"/>
              </w:rPr>
              <w:t>Экосистема проектов</w:t>
            </w:r>
          </w:p>
        </w:tc>
      </w:tr>
    </w:tbl>
    <w:p w14:paraId="67C448E8" w14:textId="0D3BA352" w:rsidR="004E1FA0" w:rsidRPr="004E4FD5" w:rsidRDefault="004E1FA0" w:rsidP="004E1FA0">
      <w:pPr>
        <w:pStyle w:val="1"/>
        <w:numPr>
          <w:ilvl w:val="0"/>
          <w:numId w:val="2"/>
        </w:numPr>
        <w:tabs>
          <w:tab w:val="clear" w:pos="576"/>
        </w:tabs>
        <w:ind w:firstLine="215"/>
      </w:pPr>
      <w:r w:rsidRPr="004E4FD5">
        <w:t>Формализация метрики agreement rate</w:t>
      </w:r>
    </w:p>
    <w:p w14:paraId="4069E56A" w14:textId="77777777" w:rsidR="004E1FA0" w:rsidRPr="004E4FD5" w:rsidRDefault="004E1FA0" w:rsidP="000924AC">
      <w:pPr>
        <w:pStyle w:val="a3"/>
      </w:pPr>
      <w:r w:rsidRPr="004E4FD5">
        <w:t xml:space="preserve">Пусть </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oMath>
      <w:r w:rsidRPr="004E4FD5">
        <w:t xml:space="preserve">  множество сентиментальных оценок </w:t>
      </w:r>
      <m:oMath>
        <m:r>
          <w:rPr>
            <w:rFonts w:ascii="Cambria Math" w:hAnsi="Cambria Math"/>
          </w:rPr>
          <m:t>k</m:t>
        </m:r>
      </m:oMath>
      <w:r w:rsidRPr="004E4FD5">
        <w:t xml:space="preserve"> успешно ответивших агентов. Среднее значение:</w:t>
      </w:r>
    </w:p>
    <w:tbl>
      <w:tblPr>
        <w:tblW w:w="0" w:type="auto"/>
        <w:jc w:val="center"/>
        <w:tblLook w:val="04A0" w:firstRow="1" w:lastRow="0" w:firstColumn="1" w:lastColumn="0" w:noHBand="0" w:noVBand="1"/>
      </w:tblPr>
      <w:tblGrid>
        <w:gridCol w:w="4193"/>
        <w:gridCol w:w="899"/>
      </w:tblGrid>
      <w:tr w:rsidR="004E4FD5" w:rsidRPr="004E4FD5" w14:paraId="54220756" w14:textId="77777777" w:rsidTr="003D28D6">
        <w:trPr>
          <w:jc w:val="center"/>
        </w:trPr>
        <w:tc>
          <w:tcPr>
            <w:tcW w:w="7920" w:type="dxa"/>
          </w:tcPr>
          <w:p w14:paraId="70FFD184" w14:textId="77777777" w:rsidR="004E1FA0" w:rsidRPr="000924AC" w:rsidRDefault="009F5FF6" w:rsidP="004E1FA0">
            <w:pPr>
              <w:jc w:val="both"/>
            </w:pPr>
            <m:oMathPara>
              <m:oMathParaPr>
                <m:jc m:val="center"/>
              </m:oMathParaPr>
              <m:oMath>
                <m:limUpp>
                  <m:limUppPr>
                    <m:ctrlPr>
                      <w:rPr>
                        <w:rFonts w:ascii="Cambria Math" w:hAnsi="Cambria Math"/>
                      </w:rPr>
                    </m:ctrlPr>
                  </m:limUppPr>
                  <m:e>
                    <m:r>
                      <w:rPr>
                        <w:rFonts w:ascii="Cambria Math" w:hAnsi="Cambria Math"/>
                      </w:rPr>
                      <m:t>s</m:t>
                    </m:r>
                  </m:e>
                  <m:lim>
                    <m:r>
                      <w:rPr>
                        <w:rFonts w:ascii="Cambria Math" w:hAnsi="Cambria Math"/>
                      </w:rPr>
                      <m:t>¯</m:t>
                    </m:r>
                  </m:lim>
                </m:limUp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k</m:t>
                    </m:r>
                  </m:den>
                </m:f>
                <m:sSubSup>
                  <m:sSubSupPr>
                    <m:ctrlPr>
                      <w:rPr>
                        <w:rFonts w:ascii="Cambria Math" w:hAnsi="Cambria Math"/>
                      </w:rPr>
                    </m:ctrlPr>
                  </m:sSubSupPr>
                  <m:e>
                    <m:r>
                      <w:rPr>
                        <w:rFonts w:ascii="Cambria Math" w:hAnsi="Cambria Math"/>
                      </w:rPr>
                      <m:t>∑</m:t>
                    </m:r>
                  </m:e>
                  <m:sub>
                    <m:r>
                      <w:rPr>
                        <w:rFonts w:ascii="Cambria Math" w:hAnsi="Cambria Math"/>
                      </w:rPr>
                      <m:t>i</m:t>
                    </m:r>
                    <m:r>
                      <w:rPr>
                        <w:rFonts w:ascii="Cambria Math" w:hAnsi="Cambria Math"/>
                      </w:rPr>
                      <m:t>=1</m:t>
                    </m:r>
                  </m:sub>
                  <m:sup>
                    <m:r>
                      <w:rPr>
                        <w:rFonts w:ascii="Cambria Math" w:hAnsi="Cambria Math"/>
                      </w:rPr>
                      <m:t>k</m:t>
                    </m:r>
                  </m:sup>
                </m:sSubSup>
                <m:sSub>
                  <m:sSubPr>
                    <m:ctrlPr>
                      <w:rPr>
                        <w:rFonts w:ascii="Cambria Math" w:hAnsi="Cambria Math"/>
                      </w:rPr>
                    </m:ctrlPr>
                  </m:sSubPr>
                  <m:e>
                    <m:r>
                      <w:rPr>
                        <w:rFonts w:ascii="Cambria Math" w:hAnsi="Cambria Math"/>
                      </w:rPr>
                      <m:t>s</m:t>
                    </m:r>
                  </m:e>
                  <m:sub>
                    <m:r>
                      <w:rPr>
                        <w:rFonts w:ascii="Cambria Math" w:hAnsi="Cambria Math"/>
                      </w:rPr>
                      <m:t>i</m:t>
                    </m:r>
                  </m:sub>
                </m:sSub>
              </m:oMath>
            </m:oMathPara>
          </w:p>
        </w:tc>
        <w:tc>
          <w:tcPr>
            <w:tcW w:w="1440" w:type="dxa"/>
          </w:tcPr>
          <w:p w14:paraId="211595D6" w14:textId="77777777" w:rsidR="004E1FA0" w:rsidRPr="004E4FD5" w:rsidRDefault="004E1FA0" w:rsidP="000924AC">
            <w:pPr>
              <w:jc w:val="right"/>
            </w:pPr>
            <w:r w:rsidRPr="004E4FD5">
              <w:t>(1)</w:t>
            </w:r>
          </w:p>
        </w:tc>
      </w:tr>
    </w:tbl>
    <w:p w14:paraId="38804ADB" w14:textId="77777777" w:rsidR="004E1FA0" w:rsidRPr="004E4FD5" w:rsidRDefault="004E1FA0" w:rsidP="000924AC">
      <w:pPr>
        <w:pStyle w:val="a3"/>
        <w:spacing w:before="120"/>
      </w:pPr>
      <w:r w:rsidRPr="004E4FD5">
        <w:t>Среднее абсолютное отклонение оценок от среднего:</w:t>
      </w:r>
    </w:p>
    <w:tbl>
      <w:tblPr>
        <w:tblW w:w="0" w:type="auto"/>
        <w:jc w:val="center"/>
        <w:tblLook w:val="04A0" w:firstRow="1" w:lastRow="0" w:firstColumn="1" w:lastColumn="0" w:noHBand="0" w:noVBand="1"/>
      </w:tblPr>
      <w:tblGrid>
        <w:gridCol w:w="4010"/>
        <w:gridCol w:w="995"/>
      </w:tblGrid>
      <w:tr w:rsidR="004E4FD5" w:rsidRPr="004E4FD5" w14:paraId="0855A384" w14:textId="77777777" w:rsidTr="000924AC">
        <w:trPr>
          <w:jc w:val="center"/>
        </w:trPr>
        <w:tc>
          <w:tcPr>
            <w:tcW w:w="4010" w:type="dxa"/>
          </w:tcPr>
          <w:p w14:paraId="2CC47A84" w14:textId="77777777" w:rsidR="004E1FA0" w:rsidRPr="004E4FD5" w:rsidRDefault="004E1FA0" w:rsidP="004E1FA0">
            <w:pPr>
              <w:jc w:val="both"/>
            </w:pPr>
            <m:oMathPara>
              <m:oMath>
                <m:r>
                  <w:rPr>
                    <w:rFonts w:ascii="Cambria Math" w:hAnsi="Cambria Math"/>
                  </w:rPr>
                  <m:t>σ=</m:t>
                </m:r>
                <m:f>
                  <m:fPr>
                    <m:ctrlPr>
                      <w:rPr>
                        <w:rFonts w:ascii="Cambria Math" w:hAnsi="Cambria Math"/>
                      </w:rPr>
                    </m:ctrlPr>
                  </m:fPr>
                  <m:num>
                    <m:r>
                      <w:rPr>
                        <w:rFonts w:ascii="Cambria Math" w:hAnsi="Cambria Math"/>
                      </w:rPr>
                      <m:t>1</m:t>
                    </m:r>
                  </m:num>
                  <m:den>
                    <m:r>
                      <w:rPr>
                        <w:rFonts w:ascii="Cambria Math" w:hAnsi="Cambria Math"/>
                      </w:rPr>
                      <m:t>k</m:t>
                    </m:r>
                  </m:den>
                </m:f>
                <m:sSubSup>
                  <m:sSubSupPr>
                    <m:ctrlPr>
                      <w:rPr>
                        <w:rFonts w:ascii="Cambria Math" w:hAnsi="Cambria Math"/>
                      </w:rPr>
                    </m:ctrlPr>
                  </m:sSubSupPr>
                  <m:e>
                    <m:r>
                      <w:rPr>
                        <w:rFonts w:ascii="Cambria Math" w:hAnsi="Cambria Math"/>
                      </w:rPr>
                      <m:t>∑</m:t>
                    </m:r>
                  </m:e>
                  <m:sub>
                    <m:r>
                      <w:rPr>
                        <w:rFonts w:ascii="Cambria Math" w:hAnsi="Cambria Math"/>
                      </w:rPr>
                      <m:t>i=1</m:t>
                    </m:r>
                  </m:sub>
                  <m:sup>
                    <m:r>
                      <w:rPr>
                        <w:rFonts w:ascii="Cambria Math" w:hAnsi="Cambria Math"/>
                      </w:rPr>
                      <m:t>k</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limUpp>
                  <m:limUppPr>
                    <m:ctrlPr>
                      <w:rPr>
                        <w:rFonts w:ascii="Cambria Math" w:hAnsi="Cambria Math"/>
                      </w:rPr>
                    </m:ctrlPr>
                  </m:limUppPr>
                  <m:e>
                    <m:r>
                      <w:rPr>
                        <w:rFonts w:ascii="Cambria Math" w:hAnsi="Cambria Math"/>
                      </w:rPr>
                      <m:t>s</m:t>
                    </m:r>
                  </m:e>
                  <m:lim>
                    <m:r>
                      <w:rPr>
                        <w:rFonts w:ascii="Cambria Math" w:hAnsi="Cambria Math"/>
                      </w:rPr>
                      <m:t>¯</m:t>
                    </m:r>
                  </m:lim>
                </m:limUpp>
                <m:r>
                  <w:rPr>
                    <w:rFonts w:ascii="Cambria Math" w:hAnsi="Cambria Math"/>
                  </w:rPr>
                  <m:t>|</m:t>
                </m:r>
              </m:oMath>
            </m:oMathPara>
          </w:p>
        </w:tc>
        <w:tc>
          <w:tcPr>
            <w:tcW w:w="995" w:type="dxa"/>
          </w:tcPr>
          <w:p w14:paraId="089CF452" w14:textId="77777777" w:rsidR="004E1FA0" w:rsidRPr="004E4FD5" w:rsidRDefault="004E1FA0" w:rsidP="000924AC">
            <w:pPr>
              <w:jc w:val="right"/>
            </w:pPr>
            <w:r w:rsidRPr="004E4FD5">
              <w:t>(2)</w:t>
            </w:r>
          </w:p>
        </w:tc>
      </w:tr>
    </w:tbl>
    <w:p w14:paraId="586EBB7E" w14:textId="3C4345D1" w:rsidR="004E1FA0" w:rsidRPr="004E4FD5" w:rsidRDefault="00BE0C44" w:rsidP="000924AC">
      <w:pPr>
        <w:pStyle w:val="a3"/>
      </w:pPr>
      <w:r w:rsidRPr="004E4FD5">
        <w:lastRenderedPageBreak/>
        <w:t xml:space="preserve">Согласно фундаментальным положениям статистического анализа [1], интерпретация дисперсии как меры отклонения значений от их математического ожидания позволяет рассматривать </w:t>
      </w:r>
      <m:oMath>
        <m:r>
          <w:rPr>
            <w:rFonts w:ascii="Cambria Math" w:hAnsi="Cambria Math"/>
          </w:rPr>
          <m:t>σ</m:t>
        </m:r>
      </m:oMath>
      <w:r w:rsidRPr="004E4FD5">
        <w:t xml:space="preserve"> как индикатор консолидированности ответов ансамбля. Поскольку </w:t>
      </w:r>
      <m:oMath>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∈[-1;1]</m:t>
        </m:r>
      </m:oMath>
      <w:r w:rsidRPr="004E4FD5">
        <w:t xml:space="preserve">, теоретически максимальное значение </w:t>
      </w:r>
      <m:oMath>
        <m:r>
          <w:rPr>
            <w:rFonts w:ascii="Cambria Math" w:hAnsi="Cambria Math"/>
          </w:rPr>
          <m:t>σ</m:t>
        </m:r>
      </m:oMath>
      <w:r w:rsidR="004E1FA0" w:rsidRPr="004E4FD5">
        <w:t xml:space="preserve"> равно 2. Метрика agreement rate определяется нормированным отклонением:</w:t>
      </w:r>
    </w:p>
    <w:tbl>
      <w:tblPr>
        <w:tblW w:w="0" w:type="auto"/>
        <w:jc w:val="center"/>
        <w:tblLook w:val="04A0" w:firstRow="1" w:lastRow="0" w:firstColumn="1" w:lastColumn="0" w:noHBand="0" w:noVBand="1"/>
      </w:tblPr>
      <w:tblGrid>
        <w:gridCol w:w="3990"/>
        <w:gridCol w:w="1015"/>
      </w:tblGrid>
      <w:tr w:rsidR="004E4FD5" w:rsidRPr="004E4FD5" w14:paraId="53789048" w14:textId="77777777" w:rsidTr="000924AC">
        <w:trPr>
          <w:jc w:val="center"/>
        </w:trPr>
        <w:tc>
          <w:tcPr>
            <w:tcW w:w="3990" w:type="dxa"/>
          </w:tcPr>
          <w:p w14:paraId="2B1BC7FC" w14:textId="77777777" w:rsidR="004E1FA0" w:rsidRPr="004E4FD5" w:rsidRDefault="004E1FA0" w:rsidP="004E1FA0">
            <w:pPr>
              <w:jc w:val="both"/>
            </w:pPr>
            <m:oMathPara>
              <m:oMath>
                <m:r>
                  <w:rPr>
                    <w:rFonts w:ascii="Cambria Math" w:hAnsi="Cambria Math"/>
                  </w:rPr>
                  <m:t>AR=1-</m:t>
                </m:r>
                <m:f>
                  <m:fPr>
                    <m:ctrlPr>
                      <w:rPr>
                        <w:rFonts w:ascii="Cambria Math" w:hAnsi="Cambria Math"/>
                      </w:rPr>
                    </m:ctrlPr>
                  </m:fPr>
                  <m:num>
                    <m:r>
                      <w:rPr>
                        <w:rFonts w:ascii="Cambria Math" w:hAnsi="Cambria Math"/>
                      </w:rPr>
                      <m:t>σ</m:t>
                    </m:r>
                  </m:num>
                  <m:den>
                    <m:r>
                      <w:rPr>
                        <w:rFonts w:ascii="Cambria Math" w:hAnsi="Cambria Math"/>
                      </w:rPr>
                      <m:t>2</m:t>
                    </m:r>
                  </m:den>
                </m:f>
                <m:r>
                  <w:rPr>
                    <w:rFonts w:ascii="Cambria Math" w:hAnsi="Cambria Math"/>
                  </w:rPr>
                  <m:t>,AR∈[0;1]</m:t>
                </m:r>
              </m:oMath>
            </m:oMathPara>
          </w:p>
        </w:tc>
        <w:tc>
          <w:tcPr>
            <w:tcW w:w="1015" w:type="dxa"/>
          </w:tcPr>
          <w:p w14:paraId="63D3E802" w14:textId="77777777" w:rsidR="004E1FA0" w:rsidRPr="004E4FD5" w:rsidRDefault="004E1FA0" w:rsidP="000924AC">
            <w:pPr>
              <w:jc w:val="right"/>
            </w:pPr>
            <w:r w:rsidRPr="004E4FD5">
              <w:t>(3)</w:t>
            </w:r>
          </w:p>
        </w:tc>
      </w:tr>
    </w:tbl>
    <w:p w14:paraId="3735BAAC" w14:textId="75ECEE62" w:rsidR="0037125D" w:rsidRPr="004E4FD5" w:rsidRDefault="00BE0C44" w:rsidP="00F94627">
      <w:pPr>
        <w:pStyle w:val="a3"/>
        <w:spacing w:before="120"/>
      </w:pPr>
      <w:r w:rsidRPr="004E4FD5">
        <w:t xml:space="preserve">При </w:t>
      </w:r>
      <m:oMath>
        <m:r>
          <w:rPr>
            <w:rFonts w:ascii="Cambria Math" w:hAnsi="Cambria Math"/>
          </w:rPr>
          <m:t>AR=1,0</m:t>
        </m:r>
      </m:oMath>
      <w:r w:rsidRPr="004E4FD5">
        <w:t xml:space="preserve"> все агенты вернули идентичный сентимент; при </w:t>
      </w:r>
      <m:oMath>
        <m:r>
          <w:rPr>
            <w:rFonts w:ascii="Cambria Math" w:hAnsi="Cambria Math"/>
          </w:rPr>
          <m:t>AR=0,0</m:t>
        </m:r>
      </m:oMath>
      <w:r w:rsidRPr="004E4FD5">
        <w:t xml:space="preserve"> оценки диаметрально противоположны. Интерпретация в рамках теории нечётких измерений [9]: величина </w:t>
      </w:r>
      <m:oMath>
        <m:r>
          <w:rPr>
            <w:rFonts w:ascii="Cambria Math" w:hAnsi="Cambria Math"/>
          </w:rPr>
          <m:t>1-AR</m:t>
        </m:r>
      </m:oMath>
      <w:r w:rsidRPr="004E4FD5">
        <w:t xml:space="preserve"> является мерой неопределённости при отображении документа в пространство меток. Для категориальных полей итоговая метка определяется мажоритарным гол</w:t>
      </w:r>
      <w:r w:rsidR="000924AC">
        <w:t xml:space="preserve">осованием, </w:t>
      </w:r>
      <w:r w:rsidRPr="004E4FD5">
        <w:t>выбирается значение, встречающееся у наибольшего числа агентов [5].</w:t>
      </w:r>
    </w:p>
    <w:p w14:paraId="234716C0" w14:textId="77777777" w:rsidR="0037125D" w:rsidRPr="004E4FD5" w:rsidRDefault="0037125D" w:rsidP="000924AC">
      <w:pPr>
        <w:pStyle w:val="a3"/>
      </w:pPr>
      <w:r w:rsidRPr="004E4FD5">
        <w:t xml:space="preserve">Документы с </w:t>
      </w:r>
      <m:oMath>
        <m:r>
          <w:rPr>
            <w:rFonts w:ascii="Cambria Math" w:hAnsi="Cambria Math"/>
          </w:rPr>
          <m:t>AR&lt;0,85</m:t>
        </m:r>
      </m:oMath>
      <w:r w:rsidRPr="004E4FD5">
        <w:t xml:space="preserve"> идентифицируются как нечёткие и направляются на ручную верификацию.</w:t>
      </w:r>
    </w:p>
    <w:p w14:paraId="7665A950" w14:textId="48845B72" w:rsidR="004E1FA0" w:rsidRPr="004E4FD5" w:rsidRDefault="004E1FA0" w:rsidP="004E1FA0">
      <w:pPr>
        <w:pStyle w:val="1"/>
        <w:numPr>
          <w:ilvl w:val="0"/>
          <w:numId w:val="2"/>
        </w:numPr>
        <w:tabs>
          <w:tab w:val="clear" w:pos="576"/>
        </w:tabs>
        <w:ind w:firstLine="215"/>
      </w:pPr>
      <w:r w:rsidRPr="004E4FD5">
        <w:t>Описание корпуса и условий эксперимента</w:t>
      </w:r>
    </w:p>
    <w:p w14:paraId="290B6C83" w14:textId="2CAA605F" w:rsidR="004E1FA0" w:rsidRPr="004E4FD5" w:rsidRDefault="0048059B" w:rsidP="000924AC">
      <w:pPr>
        <w:pStyle w:val="a3"/>
      </w:pPr>
      <w:r w:rsidRPr="004E4FD5">
        <w:t xml:space="preserve">Корпус сформирован из криптовалютных и финансовых новостей источников, прошедших ручную верификацию на релевантность. Использовались четыре LLM-агента, запускаемые параллельно через REST API </w:t>
      </w:r>
      <w:r w:rsidRPr="004E4FD5">
        <w:lastRenderedPageBreak/>
        <w:t>при фиксированном системном промпте. В табл. 2 приведены технические характеристики агентов.</w:t>
      </w:r>
    </w:p>
    <w:p w14:paraId="5A48F9FD" w14:textId="77777777" w:rsidR="0048059B" w:rsidRPr="004E4FD5" w:rsidRDefault="0048059B" w:rsidP="000924AC">
      <w:pPr>
        <w:pStyle w:val="a1"/>
      </w:pPr>
    </w:p>
    <w:tbl>
      <w:tblPr>
        <w:tblStyle w:val="af0"/>
        <w:tblW w:w="4876" w:type="dxa"/>
        <w:jc w:val="center"/>
        <w:tblLook w:val="04A0" w:firstRow="1" w:lastRow="0" w:firstColumn="1" w:lastColumn="0" w:noHBand="0" w:noVBand="1"/>
      </w:tblPr>
      <w:tblGrid>
        <w:gridCol w:w="1748"/>
        <w:gridCol w:w="1060"/>
        <w:gridCol w:w="1247"/>
        <w:gridCol w:w="821"/>
      </w:tblGrid>
      <w:tr w:rsidR="004E4FD5" w:rsidRPr="004E4FD5" w14:paraId="7F1B94A1" w14:textId="77777777" w:rsidTr="000924AC">
        <w:trPr>
          <w:jc w:val="center"/>
        </w:trPr>
        <w:tc>
          <w:tcPr>
            <w:tcW w:w="1748" w:type="dxa"/>
          </w:tcPr>
          <w:p w14:paraId="372C7B9D" w14:textId="77777777" w:rsidR="008D4425" w:rsidRPr="00255D12" w:rsidRDefault="008D4425" w:rsidP="003D28D6">
            <w:pPr>
              <w:rPr>
                <w:sz w:val="16"/>
                <w:szCs w:val="16"/>
              </w:rPr>
            </w:pPr>
            <w:r w:rsidRPr="00255D12">
              <w:rPr>
                <w:b/>
                <w:sz w:val="16"/>
                <w:szCs w:val="16"/>
              </w:rPr>
              <w:t>Модель</w:t>
            </w:r>
          </w:p>
        </w:tc>
        <w:tc>
          <w:tcPr>
            <w:tcW w:w="1060" w:type="dxa"/>
          </w:tcPr>
          <w:p w14:paraId="408EFBCB" w14:textId="77777777" w:rsidR="008D4425" w:rsidRPr="00255D12" w:rsidRDefault="008D4425" w:rsidP="003D28D6">
            <w:pPr>
              <w:jc w:val="center"/>
              <w:rPr>
                <w:sz w:val="16"/>
                <w:szCs w:val="16"/>
              </w:rPr>
            </w:pPr>
            <w:r w:rsidRPr="00255D12">
              <w:rPr>
                <w:b/>
                <w:sz w:val="16"/>
                <w:szCs w:val="16"/>
              </w:rPr>
              <w:t>Ошибок, %</w:t>
            </w:r>
          </w:p>
        </w:tc>
        <w:tc>
          <w:tcPr>
            <w:tcW w:w="1247" w:type="dxa"/>
          </w:tcPr>
          <w:p w14:paraId="485E78B5" w14:textId="77777777" w:rsidR="008D4425" w:rsidRPr="00255D12" w:rsidRDefault="008D4425" w:rsidP="003D28D6">
            <w:pPr>
              <w:jc w:val="center"/>
              <w:rPr>
                <w:sz w:val="16"/>
                <w:szCs w:val="16"/>
              </w:rPr>
            </w:pPr>
            <w:r w:rsidRPr="00255D12">
              <w:rPr>
                <w:b/>
                <w:sz w:val="16"/>
                <w:szCs w:val="16"/>
              </w:rPr>
              <w:t>Ср. задержка, мс</w:t>
            </w:r>
          </w:p>
        </w:tc>
        <w:tc>
          <w:tcPr>
            <w:tcW w:w="821" w:type="dxa"/>
          </w:tcPr>
          <w:p w14:paraId="6B49890C" w14:textId="77777777" w:rsidR="008D4425" w:rsidRPr="00255D12" w:rsidRDefault="008D4425" w:rsidP="003D28D6">
            <w:pPr>
              <w:jc w:val="center"/>
              <w:rPr>
                <w:sz w:val="16"/>
                <w:szCs w:val="16"/>
              </w:rPr>
            </w:pPr>
            <w:r w:rsidRPr="00255D12">
              <w:rPr>
                <w:b/>
                <w:sz w:val="16"/>
                <w:szCs w:val="16"/>
              </w:rPr>
              <w:t>Ср. токенов ответа</w:t>
            </w:r>
          </w:p>
        </w:tc>
      </w:tr>
      <w:tr w:rsidR="004E4FD5" w:rsidRPr="004E4FD5" w14:paraId="0372A666" w14:textId="635B3BA3" w:rsidTr="000924AC">
        <w:trPr>
          <w:jc w:val="center"/>
        </w:trPr>
        <w:tc>
          <w:tcPr>
            <w:tcW w:w="1748" w:type="dxa"/>
          </w:tcPr>
          <w:p w14:paraId="401C108A" w14:textId="20E76E1B" w:rsidR="008D4425" w:rsidRPr="004E4FD5" w:rsidRDefault="008D4425" w:rsidP="008D4425">
            <w:pPr>
              <w:pStyle w:val="af1"/>
              <w:rPr>
                <w:szCs w:val="16"/>
              </w:rPr>
            </w:pPr>
            <w:proofErr w:type="spellStart"/>
            <w:r w:rsidRPr="004E4FD5">
              <w:rPr>
                <w:szCs w:val="16"/>
              </w:rPr>
              <w:t>Grok</w:t>
            </w:r>
            <w:proofErr w:type="spellEnd"/>
            <w:r w:rsidRPr="004E4FD5">
              <w:rPr>
                <w:szCs w:val="16"/>
              </w:rPr>
              <w:t xml:space="preserve"> 4 </w:t>
            </w:r>
            <w:proofErr w:type="spellStart"/>
            <w:r w:rsidRPr="004E4FD5">
              <w:rPr>
                <w:szCs w:val="16"/>
              </w:rPr>
              <w:t>Fast</w:t>
            </w:r>
            <w:proofErr w:type="spellEnd"/>
          </w:p>
        </w:tc>
        <w:tc>
          <w:tcPr>
            <w:tcW w:w="1060" w:type="dxa"/>
          </w:tcPr>
          <w:p w14:paraId="6F1493AF" w14:textId="33C27D0B" w:rsidR="008D4425" w:rsidRPr="004E4FD5" w:rsidRDefault="008D4425" w:rsidP="008D4425">
            <w:pPr>
              <w:pStyle w:val="af1"/>
              <w:rPr>
                <w:szCs w:val="16"/>
              </w:rPr>
            </w:pPr>
            <w:r w:rsidRPr="004E4FD5">
              <w:rPr>
                <w:szCs w:val="16"/>
              </w:rPr>
              <w:t>7,84</w:t>
            </w:r>
          </w:p>
        </w:tc>
        <w:tc>
          <w:tcPr>
            <w:tcW w:w="1247" w:type="dxa"/>
          </w:tcPr>
          <w:p w14:paraId="3E0BCB7C" w14:textId="0F4039D8" w:rsidR="008D4425" w:rsidRPr="004E4FD5" w:rsidRDefault="008D4425" w:rsidP="008D4425">
            <w:pPr>
              <w:pStyle w:val="af1"/>
              <w:rPr>
                <w:szCs w:val="16"/>
              </w:rPr>
            </w:pPr>
            <w:r w:rsidRPr="004E4FD5">
              <w:rPr>
                <w:szCs w:val="16"/>
              </w:rPr>
              <w:t>6 079</w:t>
            </w:r>
          </w:p>
        </w:tc>
        <w:tc>
          <w:tcPr>
            <w:tcW w:w="821" w:type="dxa"/>
          </w:tcPr>
          <w:p w14:paraId="7F8B2098" w14:textId="18C57EFD" w:rsidR="008D4425" w:rsidRPr="004E4FD5" w:rsidRDefault="008D4425" w:rsidP="008D4425">
            <w:pPr>
              <w:pStyle w:val="af1"/>
              <w:rPr>
                <w:szCs w:val="16"/>
              </w:rPr>
            </w:pPr>
            <w:r w:rsidRPr="004E4FD5">
              <w:rPr>
                <w:szCs w:val="16"/>
              </w:rPr>
              <w:t>55</w:t>
            </w:r>
          </w:p>
        </w:tc>
      </w:tr>
      <w:tr w:rsidR="004E4FD5" w:rsidRPr="004E4FD5" w14:paraId="551A1D7B" w14:textId="176E53DE" w:rsidTr="000924AC">
        <w:trPr>
          <w:jc w:val="center"/>
        </w:trPr>
        <w:tc>
          <w:tcPr>
            <w:tcW w:w="1748" w:type="dxa"/>
          </w:tcPr>
          <w:p w14:paraId="55990D7F" w14:textId="4643D7B6" w:rsidR="008D4425" w:rsidRPr="004E4FD5" w:rsidRDefault="008D4425" w:rsidP="008D4425">
            <w:pPr>
              <w:pStyle w:val="af1"/>
              <w:rPr>
                <w:szCs w:val="16"/>
              </w:rPr>
            </w:pPr>
            <w:proofErr w:type="spellStart"/>
            <w:r w:rsidRPr="004E4FD5">
              <w:rPr>
                <w:szCs w:val="16"/>
              </w:rPr>
              <w:t>DeepSeek</w:t>
            </w:r>
            <w:proofErr w:type="spellEnd"/>
            <w:r w:rsidRPr="004E4FD5">
              <w:rPr>
                <w:szCs w:val="16"/>
              </w:rPr>
              <w:t xml:space="preserve"> V3.2</w:t>
            </w:r>
          </w:p>
        </w:tc>
        <w:tc>
          <w:tcPr>
            <w:tcW w:w="1060" w:type="dxa"/>
          </w:tcPr>
          <w:p w14:paraId="1A2D40C2" w14:textId="1563B171" w:rsidR="008D4425" w:rsidRPr="004E4FD5" w:rsidRDefault="008D4425" w:rsidP="008D4425">
            <w:pPr>
              <w:pStyle w:val="af1"/>
              <w:rPr>
                <w:szCs w:val="16"/>
              </w:rPr>
            </w:pPr>
            <w:r w:rsidRPr="004E4FD5">
              <w:rPr>
                <w:szCs w:val="16"/>
              </w:rPr>
              <w:t>1,68</w:t>
            </w:r>
          </w:p>
        </w:tc>
        <w:tc>
          <w:tcPr>
            <w:tcW w:w="1247" w:type="dxa"/>
          </w:tcPr>
          <w:p w14:paraId="7E942DCE" w14:textId="4E48A6B3" w:rsidR="008D4425" w:rsidRPr="004E4FD5" w:rsidRDefault="008D4425" w:rsidP="008D4425">
            <w:pPr>
              <w:pStyle w:val="af1"/>
              <w:rPr>
                <w:szCs w:val="16"/>
              </w:rPr>
            </w:pPr>
            <w:r w:rsidRPr="004E4FD5">
              <w:rPr>
                <w:szCs w:val="16"/>
              </w:rPr>
              <w:t>5 599</w:t>
            </w:r>
          </w:p>
        </w:tc>
        <w:tc>
          <w:tcPr>
            <w:tcW w:w="821" w:type="dxa"/>
          </w:tcPr>
          <w:p w14:paraId="59E4AFB8" w14:textId="4E817649" w:rsidR="008D4425" w:rsidRPr="004E4FD5" w:rsidRDefault="008D4425" w:rsidP="008D4425">
            <w:pPr>
              <w:pStyle w:val="af1"/>
              <w:rPr>
                <w:szCs w:val="16"/>
              </w:rPr>
            </w:pPr>
            <w:r w:rsidRPr="004E4FD5">
              <w:rPr>
                <w:szCs w:val="16"/>
              </w:rPr>
              <w:t>61</w:t>
            </w:r>
          </w:p>
        </w:tc>
      </w:tr>
      <w:tr w:rsidR="004E4FD5" w:rsidRPr="004E4FD5" w14:paraId="7C231046" w14:textId="3535FEB6" w:rsidTr="000924AC">
        <w:trPr>
          <w:jc w:val="center"/>
        </w:trPr>
        <w:tc>
          <w:tcPr>
            <w:tcW w:w="1748" w:type="dxa"/>
          </w:tcPr>
          <w:p w14:paraId="4CC080C4" w14:textId="3FE2BC0A" w:rsidR="008D4425" w:rsidRPr="004E4FD5" w:rsidRDefault="008D4425" w:rsidP="008D4425">
            <w:pPr>
              <w:pStyle w:val="af1"/>
              <w:rPr>
                <w:szCs w:val="16"/>
              </w:rPr>
            </w:pPr>
            <w:r w:rsidRPr="004E4FD5">
              <w:rPr>
                <w:szCs w:val="16"/>
              </w:rPr>
              <w:t>Gemini 2.5 Flash Lite</w:t>
            </w:r>
          </w:p>
        </w:tc>
        <w:tc>
          <w:tcPr>
            <w:tcW w:w="1060" w:type="dxa"/>
          </w:tcPr>
          <w:p w14:paraId="1F6B8D93" w14:textId="5FC202A2" w:rsidR="008D4425" w:rsidRPr="004E4FD5" w:rsidRDefault="008D4425" w:rsidP="008D4425">
            <w:pPr>
              <w:pStyle w:val="af1"/>
              <w:rPr>
                <w:szCs w:val="16"/>
              </w:rPr>
            </w:pPr>
            <w:r w:rsidRPr="004E4FD5">
              <w:rPr>
                <w:szCs w:val="16"/>
              </w:rPr>
              <w:t>1,65</w:t>
            </w:r>
          </w:p>
        </w:tc>
        <w:tc>
          <w:tcPr>
            <w:tcW w:w="1247" w:type="dxa"/>
          </w:tcPr>
          <w:p w14:paraId="73794FED" w14:textId="62B30FA9" w:rsidR="008D4425" w:rsidRPr="004E4FD5" w:rsidRDefault="008D4425" w:rsidP="008D4425">
            <w:pPr>
              <w:pStyle w:val="af1"/>
              <w:rPr>
                <w:szCs w:val="16"/>
              </w:rPr>
            </w:pPr>
            <w:r w:rsidRPr="004E4FD5">
              <w:rPr>
                <w:szCs w:val="16"/>
              </w:rPr>
              <w:t>2 914</w:t>
            </w:r>
          </w:p>
        </w:tc>
        <w:tc>
          <w:tcPr>
            <w:tcW w:w="821" w:type="dxa"/>
          </w:tcPr>
          <w:p w14:paraId="5658DF62" w14:textId="08680024" w:rsidR="008D4425" w:rsidRPr="004E4FD5" w:rsidRDefault="008D4425" w:rsidP="008D4425">
            <w:pPr>
              <w:pStyle w:val="af1"/>
              <w:rPr>
                <w:szCs w:val="16"/>
              </w:rPr>
            </w:pPr>
            <w:r w:rsidRPr="004E4FD5">
              <w:rPr>
                <w:szCs w:val="16"/>
              </w:rPr>
              <w:t>71</w:t>
            </w:r>
          </w:p>
        </w:tc>
      </w:tr>
      <w:tr w:rsidR="004E4FD5" w:rsidRPr="004E4FD5" w14:paraId="3BAD8DF1" w14:textId="2A7E85C6" w:rsidTr="000924AC">
        <w:trPr>
          <w:jc w:val="center"/>
        </w:trPr>
        <w:tc>
          <w:tcPr>
            <w:tcW w:w="1748" w:type="dxa"/>
          </w:tcPr>
          <w:p w14:paraId="184F4056" w14:textId="0009E6FD" w:rsidR="008D4425" w:rsidRPr="004E4FD5" w:rsidRDefault="008D4425" w:rsidP="008D4425">
            <w:pPr>
              <w:pStyle w:val="af1"/>
              <w:rPr>
                <w:szCs w:val="16"/>
              </w:rPr>
            </w:pPr>
            <w:r w:rsidRPr="004E4FD5">
              <w:rPr>
                <w:szCs w:val="16"/>
              </w:rPr>
              <w:t xml:space="preserve">GPT-5 </w:t>
            </w:r>
            <w:proofErr w:type="spellStart"/>
            <w:r w:rsidRPr="004E4FD5">
              <w:rPr>
                <w:szCs w:val="16"/>
              </w:rPr>
              <w:t>Nano</w:t>
            </w:r>
            <w:proofErr w:type="spellEnd"/>
          </w:p>
        </w:tc>
        <w:tc>
          <w:tcPr>
            <w:tcW w:w="1060" w:type="dxa"/>
          </w:tcPr>
          <w:p w14:paraId="19285765" w14:textId="7094044F" w:rsidR="008D4425" w:rsidRPr="004E4FD5" w:rsidRDefault="008D4425" w:rsidP="008D4425">
            <w:pPr>
              <w:pStyle w:val="af1"/>
              <w:rPr>
                <w:szCs w:val="16"/>
              </w:rPr>
            </w:pPr>
            <w:r w:rsidRPr="004E4FD5">
              <w:rPr>
                <w:szCs w:val="16"/>
              </w:rPr>
              <w:t>0,39</w:t>
            </w:r>
          </w:p>
        </w:tc>
        <w:tc>
          <w:tcPr>
            <w:tcW w:w="1247" w:type="dxa"/>
          </w:tcPr>
          <w:p w14:paraId="52DEC83B" w14:textId="46C0F0BF" w:rsidR="008D4425" w:rsidRPr="004E4FD5" w:rsidRDefault="008D4425" w:rsidP="008D4425">
            <w:pPr>
              <w:pStyle w:val="af1"/>
              <w:rPr>
                <w:szCs w:val="16"/>
              </w:rPr>
            </w:pPr>
            <w:r w:rsidRPr="004E4FD5">
              <w:rPr>
                <w:szCs w:val="16"/>
              </w:rPr>
              <w:t>8 490</w:t>
            </w:r>
          </w:p>
        </w:tc>
        <w:tc>
          <w:tcPr>
            <w:tcW w:w="821" w:type="dxa"/>
          </w:tcPr>
          <w:p w14:paraId="6FF95FC2" w14:textId="2E30BA1C" w:rsidR="008D4425" w:rsidRPr="004E4FD5" w:rsidRDefault="008D4425" w:rsidP="008D4425">
            <w:pPr>
              <w:pStyle w:val="af1"/>
              <w:rPr>
                <w:szCs w:val="16"/>
              </w:rPr>
            </w:pPr>
            <w:r w:rsidRPr="004E4FD5">
              <w:rPr>
                <w:szCs w:val="16"/>
              </w:rPr>
              <w:t>1 117</w:t>
            </w:r>
          </w:p>
        </w:tc>
      </w:tr>
    </w:tbl>
    <w:p w14:paraId="6FC87323" w14:textId="3C5B847A" w:rsidR="00C67FD4" w:rsidRPr="004E4FD5" w:rsidRDefault="0048059B" w:rsidP="000924AC">
      <w:pPr>
        <w:pStyle w:val="a3"/>
        <w:spacing w:before="120"/>
      </w:pPr>
      <w:r w:rsidRPr="004E4FD5">
        <w:t>Из табл. 2 следует, что Gemini 2.5 Flash Lite обеспечивает наименьшую задержку (2 914 мс) при приемлемой частоте ошибок (1,65), тогда как GPT-5 Nano генерирует наибольший объём текста ответа (1 117 токенов) вследствие развёрнутого рассуждения. Наибольший процент ошибок зафиксирован у Grok 4 Fast (7,84) результат превышения лимита запросов.</w:t>
      </w:r>
    </w:p>
    <w:p w14:paraId="108259CD" w14:textId="327E8E0E" w:rsidR="009516B7" w:rsidRPr="004E4FD5" w:rsidRDefault="009516B7" w:rsidP="000924AC">
      <w:pPr>
        <w:pStyle w:val="a3"/>
      </w:pPr>
      <w:r w:rsidRPr="004E4FD5">
        <w:t>Основные статистики AR по всему датасету приведены в табл. 3.</w:t>
      </w:r>
    </w:p>
    <w:p w14:paraId="0383A2AB" w14:textId="77777777" w:rsidR="0048059B" w:rsidRPr="004E4FD5" w:rsidRDefault="0048059B" w:rsidP="0048059B">
      <w:pPr>
        <w:pStyle w:val="a1"/>
      </w:pPr>
    </w:p>
    <w:tbl>
      <w:tblPr>
        <w:tblStyle w:val="af0"/>
        <w:tblW w:w="4866" w:type="dxa"/>
        <w:jc w:val="center"/>
        <w:tblLook w:val="04A0" w:firstRow="1" w:lastRow="0" w:firstColumn="1" w:lastColumn="0" w:noHBand="0" w:noVBand="1"/>
      </w:tblPr>
      <w:tblGrid>
        <w:gridCol w:w="2706"/>
        <w:gridCol w:w="2160"/>
      </w:tblGrid>
      <w:tr w:rsidR="004E4FD5" w:rsidRPr="004E4FD5" w14:paraId="17F6A007" w14:textId="77777777" w:rsidTr="00C67FD4">
        <w:trPr>
          <w:jc w:val="center"/>
        </w:trPr>
        <w:tc>
          <w:tcPr>
            <w:tcW w:w="2706" w:type="dxa"/>
          </w:tcPr>
          <w:p w14:paraId="380E4485" w14:textId="01BB5563" w:rsidR="00C67FD4" w:rsidRPr="004E4FD5" w:rsidRDefault="00C67FD4" w:rsidP="00C67FD4">
            <w:pPr>
              <w:jc w:val="both"/>
              <w:rPr>
                <w:b/>
                <w:bCs/>
                <w:sz w:val="16"/>
                <w:szCs w:val="16"/>
              </w:rPr>
            </w:pPr>
            <w:r w:rsidRPr="004E4FD5">
              <w:rPr>
                <w:b/>
                <w:bCs/>
                <w:sz w:val="16"/>
                <w:szCs w:val="16"/>
              </w:rPr>
              <w:t>Показатель</w:t>
            </w:r>
          </w:p>
        </w:tc>
        <w:tc>
          <w:tcPr>
            <w:tcW w:w="2160" w:type="dxa"/>
          </w:tcPr>
          <w:p w14:paraId="16676767" w14:textId="737DE2F5" w:rsidR="00C67FD4" w:rsidRPr="004E4FD5" w:rsidRDefault="00C67FD4" w:rsidP="00C67FD4">
            <w:pPr>
              <w:jc w:val="both"/>
              <w:rPr>
                <w:b/>
                <w:bCs/>
                <w:sz w:val="16"/>
                <w:szCs w:val="16"/>
              </w:rPr>
            </w:pPr>
            <w:r w:rsidRPr="004E4FD5">
              <w:rPr>
                <w:b/>
                <w:bCs/>
                <w:sz w:val="16"/>
                <w:szCs w:val="16"/>
              </w:rPr>
              <w:t>Значение</w:t>
            </w:r>
          </w:p>
        </w:tc>
      </w:tr>
      <w:tr w:rsidR="004E4FD5" w:rsidRPr="004E4FD5" w14:paraId="70919CC6" w14:textId="77777777" w:rsidTr="00C67FD4">
        <w:trPr>
          <w:jc w:val="center"/>
        </w:trPr>
        <w:tc>
          <w:tcPr>
            <w:tcW w:w="2706" w:type="dxa"/>
          </w:tcPr>
          <w:p w14:paraId="23895512" w14:textId="15897D33" w:rsidR="00C67FD4" w:rsidRPr="004E4FD5" w:rsidRDefault="00C67FD4" w:rsidP="00C67FD4">
            <w:pPr>
              <w:jc w:val="both"/>
              <w:rPr>
                <w:sz w:val="16"/>
                <w:szCs w:val="16"/>
              </w:rPr>
            </w:pPr>
            <w:r w:rsidRPr="004E4FD5">
              <w:rPr>
                <w:sz w:val="16"/>
                <w:szCs w:val="16"/>
              </w:rPr>
              <w:t>Среднее AR</w:t>
            </w:r>
          </w:p>
        </w:tc>
        <w:tc>
          <w:tcPr>
            <w:tcW w:w="2160" w:type="dxa"/>
          </w:tcPr>
          <w:p w14:paraId="669155B3" w14:textId="5694CC9E" w:rsidR="00C67FD4" w:rsidRPr="004E4FD5" w:rsidRDefault="00C67FD4" w:rsidP="00C67FD4">
            <w:pPr>
              <w:jc w:val="both"/>
              <w:rPr>
                <w:sz w:val="16"/>
                <w:szCs w:val="16"/>
              </w:rPr>
            </w:pPr>
            <w:r w:rsidRPr="004E4FD5">
              <w:rPr>
                <w:sz w:val="16"/>
                <w:szCs w:val="16"/>
              </w:rPr>
              <w:t>0,9418</w:t>
            </w:r>
          </w:p>
        </w:tc>
      </w:tr>
      <w:tr w:rsidR="004E4FD5" w:rsidRPr="004E4FD5" w14:paraId="0DF9A61E" w14:textId="77777777" w:rsidTr="00C67FD4">
        <w:trPr>
          <w:jc w:val="center"/>
        </w:trPr>
        <w:tc>
          <w:tcPr>
            <w:tcW w:w="2706" w:type="dxa"/>
          </w:tcPr>
          <w:p w14:paraId="2629A929" w14:textId="257AA0FE" w:rsidR="00C67FD4" w:rsidRPr="004E4FD5" w:rsidRDefault="00C67FD4" w:rsidP="00C67FD4">
            <w:pPr>
              <w:jc w:val="both"/>
              <w:rPr>
                <w:sz w:val="16"/>
                <w:szCs w:val="16"/>
              </w:rPr>
            </w:pPr>
            <w:r w:rsidRPr="004E4FD5">
              <w:rPr>
                <w:sz w:val="16"/>
                <w:szCs w:val="16"/>
              </w:rPr>
              <w:t>Стандартное отклонение</w:t>
            </w:r>
          </w:p>
        </w:tc>
        <w:tc>
          <w:tcPr>
            <w:tcW w:w="2160" w:type="dxa"/>
          </w:tcPr>
          <w:p w14:paraId="274B4743" w14:textId="6C7EF0B6" w:rsidR="00C67FD4" w:rsidRPr="004E4FD5" w:rsidRDefault="00C67FD4" w:rsidP="00C67FD4">
            <w:pPr>
              <w:jc w:val="both"/>
              <w:rPr>
                <w:sz w:val="16"/>
                <w:szCs w:val="16"/>
              </w:rPr>
            </w:pPr>
            <w:r w:rsidRPr="004E4FD5">
              <w:rPr>
                <w:sz w:val="16"/>
                <w:szCs w:val="16"/>
              </w:rPr>
              <w:t>0,0350</w:t>
            </w:r>
          </w:p>
        </w:tc>
      </w:tr>
      <w:tr w:rsidR="004E4FD5" w:rsidRPr="004E4FD5" w14:paraId="31174AEA" w14:textId="77777777" w:rsidTr="00C67FD4">
        <w:trPr>
          <w:jc w:val="center"/>
        </w:trPr>
        <w:tc>
          <w:tcPr>
            <w:tcW w:w="2706" w:type="dxa"/>
          </w:tcPr>
          <w:p w14:paraId="28C1AEF7" w14:textId="5CE5580C" w:rsidR="00C67FD4" w:rsidRPr="004E4FD5" w:rsidRDefault="00C67FD4" w:rsidP="00C67FD4">
            <w:pPr>
              <w:jc w:val="both"/>
              <w:rPr>
                <w:sz w:val="16"/>
                <w:szCs w:val="16"/>
              </w:rPr>
            </w:pPr>
            <w:r w:rsidRPr="004E4FD5">
              <w:rPr>
                <w:sz w:val="16"/>
                <w:szCs w:val="16"/>
              </w:rPr>
              <w:t>Минимальное значение</w:t>
            </w:r>
          </w:p>
        </w:tc>
        <w:tc>
          <w:tcPr>
            <w:tcW w:w="2160" w:type="dxa"/>
          </w:tcPr>
          <w:p w14:paraId="2962099B" w14:textId="656FADC8" w:rsidR="00C67FD4" w:rsidRPr="004E4FD5" w:rsidRDefault="00C67FD4" w:rsidP="00C67FD4">
            <w:pPr>
              <w:jc w:val="both"/>
              <w:rPr>
                <w:sz w:val="16"/>
                <w:szCs w:val="16"/>
              </w:rPr>
            </w:pPr>
            <w:r w:rsidRPr="004E4FD5">
              <w:rPr>
                <w:sz w:val="16"/>
                <w:szCs w:val="16"/>
              </w:rPr>
              <w:t>0,6600</w:t>
            </w:r>
          </w:p>
        </w:tc>
      </w:tr>
      <w:tr w:rsidR="004E4FD5" w:rsidRPr="004E4FD5" w14:paraId="775FBCF5" w14:textId="77777777" w:rsidTr="009516B7">
        <w:trPr>
          <w:trHeight w:val="60"/>
          <w:jc w:val="center"/>
        </w:trPr>
        <w:tc>
          <w:tcPr>
            <w:tcW w:w="2706" w:type="dxa"/>
          </w:tcPr>
          <w:p w14:paraId="58F622D1" w14:textId="086AC14E" w:rsidR="00C67FD4" w:rsidRPr="004E4FD5" w:rsidRDefault="00C67FD4" w:rsidP="00C67FD4">
            <w:pPr>
              <w:jc w:val="both"/>
              <w:rPr>
                <w:sz w:val="16"/>
                <w:szCs w:val="16"/>
              </w:rPr>
            </w:pPr>
            <w:r w:rsidRPr="004E4FD5">
              <w:rPr>
                <w:sz w:val="16"/>
                <w:szCs w:val="16"/>
              </w:rPr>
              <w:t>Максимальное значение</w:t>
            </w:r>
          </w:p>
        </w:tc>
        <w:tc>
          <w:tcPr>
            <w:tcW w:w="2160" w:type="dxa"/>
          </w:tcPr>
          <w:p w14:paraId="75A2889C" w14:textId="0286732E" w:rsidR="00C67FD4" w:rsidRPr="004E4FD5" w:rsidRDefault="00C67FD4" w:rsidP="00C67FD4">
            <w:pPr>
              <w:jc w:val="both"/>
              <w:rPr>
                <w:sz w:val="16"/>
                <w:szCs w:val="16"/>
              </w:rPr>
            </w:pPr>
            <w:r w:rsidRPr="004E4FD5">
              <w:rPr>
                <w:sz w:val="16"/>
                <w:szCs w:val="16"/>
              </w:rPr>
              <w:t>1,0000</w:t>
            </w:r>
          </w:p>
        </w:tc>
      </w:tr>
      <w:tr w:rsidR="004E4FD5" w:rsidRPr="004E4FD5" w14:paraId="2C962E76" w14:textId="77777777" w:rsidTr="00C67FD4">
        <w:trPr>
          <w:jc w:val="center"/>
        </w:trPr>
        <w:tc>
          <w:tcPr>
            <w:tcW w:w="2706" w:type="dxa"/>
          </w:tcPr>
          <w:p w14:paraId="0438379C" w14:textId="7AFD54C5" w:rsidR="00C67FD4" w:rsidRPr="004E4FD5" w:rsidRDefault="00C67FD4" w:rsidP="00C67FD4">
            <w:pPr>
              <w:jc w:val="both"/>
              <w:rPr>
                <w:sz w:val="16"/>
                <w:szCs w:val="16"/>
              </w:rPr>
            </w:pPr>
            <w:r w:rsidRPr="004E4FD5">
              <w:rPr>
                <w:sz w:val="16"/>
                <w:szCs w:val="16"/>
              </w:rPr>
              <w:t>Доля статей с AR  0,90</w:t>
            </w:r>
          </w:p>
        </w:tc>
        <w:tc>
          <w:tcPr>
            <w:tcW w:w="2160" w:type="dxa"/>
          </w:tcPr>
          <w:p w14:paraId="7BBA13CA" w14:textId="72A731EC" w:rsidR="00C67FD4" w:rsidRPr="004E4FD5" w:rsidRDefault="00C67FD4" w:rsidP="00C67FD4">
            <w:pPr>
              <w:jc w:val="both"/>
              <w:rPr>
                <w:sz w:val="16"/>
                <w:szCs w:val="16"/>
              </w:rPr>
            </w:pPr>
            <w:r w:rsidRPr="004E4FD5">
              <w:rPr>
                <w:sz w:val="16"/>
                <w:szCs w:val="16"/>
              </w:rPr>
              <w:t>91,32</w:t>
            </w:r>
          </w:p>
        </w:tc>
      </w:tr>
      <w:tr w:rsidR="004E4FD5" w:rsidRPr="004E4FD5" w14:paraId="6311EC88" w14:textId="77777777" w:rsidTr="009516B7">
        <w:trPr>
          <w:trHeight w:val="60"/>
          <w:jc w:val="center"/>
        </w:trPr>
        <w:tc>
          <w:tcPr>
            <w:tcW w:w="2706" w:type="dxa"/>
          </w:tcPr>
          <w:p w14:paraId="22071F9A" w14:textId="0A9F51C4" w:rsidR="00C67FD4" w:rsidRPr="004E4FD5" w:rsidRDefault="00C67FD4" w:rsidP="00C67FD4">
            <w:pPr>
              <w:jc w:val="both"/>
              <w:rPr>
                <w:sz w:val="16"/>
                <w:szCs w:val="16"/>
              </w:rPr>
            </w:pPr>
            <w:r w:rsidRPr="004E4FD5">
              <w:rPr>
                <w:sz w:val="16"/>
                <w:szCs w:val="16"/>
              </w:rPr>
              <w:t>Доля статей с AR  0,85</w:t>
            </w:r>
          </w:p>
        </w:tc>
        <w:tc>
          <w:tcPr>
            <w:tcW w:w="2160" w:type="dxa"/>
          </w:tcPr>
          <w:p w14:paraId="06541763" w14:textId="1333234C" w:rsidR="00C67FD4" w:rsidRPr="004E4FD5" w:rsidRDefault="00C67FD4" w:rsidP="00C67FD4">
            <w:pPr>
              <w:jc w:val="both"/>
              <w:rPr>
                <w:sz w:val="16"/>
                <w:szCs w:val="16"/>
              </w:rPr>
            </w:pPr>
            <w:r w:rsidRPr="004E4FD5">
              <w:rPr>
                <w:sz w:val="16"/>
                <w:szCs w:val="16"/>
              </w:rPr>
              <w:t>98,54</w:t>
            </w:r>
          </w:p>
        </w:tc>
      </w:tr>
      <w:tr w:rsidR="004E4FD5" w:rsidRPr="004E4FD5" w14:paraId="39A1A784" w14:textId="77777777" w:rsidTr="00C67FD4">
        <w:trPr>
          <w:jc w:val="center"/>
        </w:trPr>
        <w:tc>
          <w:tcPr>
            <w:tcW w:w="2706" w:type="dxa"/>
          </w:tcPr>
          <w:p w14:paraId="3953CFB5" w14:textId="1D976108" w:rsidR="00C67FD4" w:rsidRPr="004E4FD5" w:rsidRDefault="00C67FD4" w:rsidP="00C67FD4">
            <w:pPr>
              <w:jc w:val="both"/>
              <w:rPr>
                <w:sz w:val="16"/>
                <w:szCs w:val="16"/>
              </w:rPr>
            </w:pPr>
            <w:r w:rsidRPr="004E4FD5">
              <w:rPr>
                <w:sz w:val="16"/>
                <w:szCs w:val="16"/>
              </w:rPr>
              <w:t>Доля статей с AR  0,85</w:t>
            </w:r>
          </w:p>
        </w:tc>
        <w:tc>
          <w:tcPr>
            <w:tcW w:w="2160" w:type="dxa"/>
          </w:tcPr>
          <w:p w14:paraId="5F5421CD" w14:textId="2BDDD821" w:rsidR="00C67FD4" w:rsidRPr="004E4FD5" w:rsidRDefault="00C67FD4" w:rsidP="00C67FD4">
            <w:pPr>
              <w:jc w:val="both"/>
              <w:rPr>
                <w:sz w:val="16"/>
                <w:szCs w:val="16"/>
              </w:rPr>
            </w:pPr>
            <w:r w:rsidRPr="004E4FD5">
              <w:rPr>
                <w:sz w:val="16"/>
                <w:szCs w:val="16"/>
              </w:rPr>
              <w:t>1,46</w:t>
            </w:r>
          </w:p>
        </w:tc>
      </w:tr>
      <w:tr w:rsidR="00C67FD4" w:rsidRPr="004E4FD5" w14:paraId="6E95ACB7" w14:textId="77777777" w:rsidTr="00C67FD4">
        <w:trPr>
          <w:jc w:val="center"/>
        </w:trPr>
        <w:tc>
          <w:tcPr>
            <w:tcW w:w="2706" w:type="dxa"/>
          </w:tcPr>
          <w:p w14:paraId="3684B9A8" w14:textId="5E7644BE" w:rsidR="00C67FD4" w:rsidRPr="004E4FD5" w:rsidRDefault="00C67FD4" w:rsidP="00C67FD4">
            <w:pPr>
              <w:jc w:val="both"/>
              <w:rPr>
                <w:sz w:val="16"/>
                <w:szCs w:val="16"/>
              </w:rPr>
            </w:pPr>
            <w:r w:rsidRPr="004E4FD5">
              <w:rPr>
                <w:sz w:val="16"/>
                <w:szCs w:val="16"/>
              </w:rPr>
              <w:t>Доля статей с AR  0,80</w:t>
            </w:r>
          </w:p>
        </w:tc>
        <w:tc>
          <w:tcPr>
            <w:tcW w:w="2160" w:type="dxa"/>
          </w:tcPr>
          <w:p w14:paraId="1CD33B46" w14:textId="78B92255" w:rsidR="00C67FD4" w:rsidRPr="004E4FD5" w:rsidRDefault="00C67FD4" w:rsidP="00C67FD4">
            <w:pPr>
              <w:jc w:val="both"/>
              <w:rPr>
                <w:sz w:val="16"/>
                <w:szCs w:val="16"/>
              </w:rPr>
            </w:pPr>
            <w:r w:rsidRPr="004E4FD5">
              <w:rPr>
                <w:sz w:val="16"/>
                <w:szCs w:val="16"/>
              </w:rPr>
              <w:t>0,35</w:t>
            </w:r>
          </w:p>
        </w:tc>
      </w:tr>
    </w:tbl>
    <w:p w14:paraId="411E668F" w14:textId="10B8F3B1" w:rsidR="00066BAA" w:rsidRPr="004E4FD5" w:rsidRDefault="00066BAA" w:rsidP="000924AC">
      <w:pPr>
        <w:pStyle w:val="a3"/>
        <w:spacing w:before="120"/>
      </w:pPr>
      <w:r w:rsidRPr="004E4FD5">
        <w:t xml:space="preserve">Распределение </w:t>
      </w:r>
      <m:oMath>
        <m:r>
          <w:rPr>
            <w:rFonts w:ascii="Cambria Math" w:hAnsi="Cambria Math"/>
          </w:rPr>
          <m:t>AR</m:t>
        </m:r>
      </m:oMath>
      <w:r w:rsidRPr="004E4FD5">
        <w:t xml:space="preserve"> имеет выраженный правосторонний пик (табл. 3): более 87,9 наблюдений сосредоточено в диапазоне [0,90; 1,00].</w:t>
      </w:r>
    </w:p>
    <w:p w14:paraId="75E6EF6C" w14:textId="4F72B8CC" w:rsidR="00064A99" w:rsidRPr="004E4FD5" w:rsidRDefault="0037125D" w:rsidP="00064A99">
      <w:pPr>
        <w:pStyle w:val="1"/>
      </w:pPr>
      <w:r w:rsidRPr="004E4FD5">
        <w:t>Анализ agreement rate по тематическим категориям</w:t>
      </w:r>
    </w:p>
    <w:p w14:paraId="48BA739D" w14:textId="1441C367" w:rsidR="006978B6" w:rsidRPr="004E4FD5" w:rsidRDefault="0048059B" w:rsidP="000924AC">
      <w:pPr>
        <w:pStyle w:val="a3"/>
      </w:pPr>
      <w:r w:rsidRPr="004E4FD5">
        <w:t>В табл. 4 представлено сравнение метрики AR в разрезе тематических категорий (коды К1К6 расшифрованы в табл. 4). Категории отсортированы по возрастанию среднего AR.</w:t>
      </w:r>
    </w:p>
    <w:p w14:paraId="45BA789A" w14:textId="77777777" w:rsidR="0048059B" w:rsidRPr="004E4FD5" w:rsidRDefault="0048059B" w:rsidP="0048059B">
      <w:pPr>
        <w:pStyle w:val="a1"/>
      </w:pPr>
    </w:p>
    <w:tbl>
      <w:tblPr>
        <w:tblStyle w:val="af0"/>
        <w:tblW w:w="4876" w:type="dxa"/>
        <w:jc w:val="center"/>
        <w:tblLayout w:type="fixed"/>
        <w:tblLook w:val="04A0" w:firstRow="1" w:lastRow="0" w:firstColumn="1" w:lastColumn="0" w:noHBand="0" w:noVBand="1"/>
      </w:tblPr>
      <w:tblGrid>
        <w:gridCol w:w="1327"/>
        <w:gridCol w:w="1331"/>
        <w:gridCol w:w="1035"/>
        <w:gridCol w:w="1183"/>
      </w:tblGrid>
      <w:tr w:rsidR="004E4FD5" w:rsidRPr="004E4FD5" w14:paraId="06C0DD3A" w14:textId="0BE4F579" w:rsidTr="000924AC">
        <w:trPr>
          <w:jc w:val="center"/>
        </w:trPr>
        <w:tc>
          <w:tcPr>
            <w:tcW w:w="1271" w:type="dxa"/>
          </w:tcPr>
          <w:p w14:paraId="7F31CFCC" w14:textId="32A1936B" w:rsidR="00424A1C" w:rsidRPr="004E4FD5" w:rsidRDefault="00424A1C" w:rsidP="003D28D6">
            <w:pPr>
              <w:jc w:val="both"/>
              <w:rPr>
                <w:b/>
                <w:bCs/>
                <w:sz w:val="16"/>
                <w:szCs w:val="16"/>
              </w:rPr>
            </w:pPr>
            <w:r w:rsidRPr="004E4FD5">
              <w:rPr>
                <w:b/>
                <w:bCs/>
                <w:sz w:val="16"/>
                <w:szCs w:val="16"/>
              </w:rPr>
              <w:t>Категория</w:t>
            </w:r>
          </w:p>
        </w:tc>
        <w:tc>
          <w:tcPr>
            <w:tcW w:w="1276" w:type="dxa"/>
          </w:tcPr>
          <w:p w14:paraId="34FDC6D0" w14:textId="6AFC896B" w:rsidR="00424A1C" w:rsidRPr="004E4FD5" w:rsidRDefault="00424A1C" w:rsidP="003D28D6">
            <w:pPr>
              <w:jc w:val="both"/>
              <w:rPr>
                <w:b/>
                <w:bCs/>
                <w:sz w:val="16"/>
                <w:szCs w:val="16"/>
              </w:rPr>
            </w:pPr>
            <w:r w:rsidRPr="004E4FD5">
              <w:rPr>
                <w:b/>
                <w:bCs/>
                <w:sz w:val="16"/>
                <w:szCs w:val="16"/>
              </w:rPr>
              <w:t>Кол-во статей</w:t>
            </w:r>
          </w:p>
        </w:tc>
        <w:tc>
          <w:tcPr>
            <w:tcW w:w="992" w:type="dxa"/>
          </w:tcPr>
          <w:p w14:paraId="36C3E125" w14:textId="7733F288" w:rsidR="00424A1C" w:rsidRPr="004E4FD5" w:rsidRDefault="00424A1C" w:rsidP="003D28D6">
            <w:pPr>
              <w:jc w:val="both"/>
              <w:rPr>
                <w:b/>
                <w:bCs/>
                <w:sz w:val="16"/>
                <w:szCs w:val="16"/>
                <w:lang w:val="en-US"/>
              </w:rPr>
            </w:pPr>
            <w:r w:rsidRPr="004E4FD5">
              <w:rPr>
                <w:b/>
                <w:bCs/>
                <w:sz w:val="16"/>
                <w:szCs w:val="16"/>
              </w:rPr>
              <w:t xml:space="preserve">Ср. </w:t>
            </w:r>
            <w:r w:rsidRPr="004E4FD5">
              <w:rPr>
                <w:b/>
                <w:bCs/>
                <w:sz w:val="16"/>
                <w:szCs w:val="16"/>
                <w:lang w:val="en-US"/>
              </w:rPr>
              <w:t>AR</w:t>
            </w:r>
          </w:p>
        </w:tc>
        <w:tc>
          <w:tcPr>
            <w:tcW w:w="1134" w:type="dxa"/>
          </w:tcPr>
          <w:p w14:paraId="28943ABC" w14:textId="3D984DFD" w:rsidR="00424A1C" w:rsidRPr="004E4FD5" w:rsidRDefault="00424A1C" w:rsidP="003D28D6">
            <w:pPr>
              <w:jc w:val="both"/>
              <w:rPr>
                <w:b/>
                <w:bCs/>
                <w:sz w:val="16"/>
                <w:szCs w:val="16"/>
              </w:rPr>
            </w:pPr>
            <w:r w:rsidRPr="004E4FD5">
              <w:rPr>
                <w:b/>
                <w:bCs/>
                <w:sz w:val="16"/>
                <w:szCs w:val="16"/>
              </w:rPr>
              <w:t xml:space="preserve">Ст. </w:t>
            </w:r>
            <w:proofErr w:type="spellStart"/>
            <w:r w:rsidRPr="004E4FD5">
              <w:rPr>
                <w:b/>
                <w:bCs/>
                <w:sz w:val="16"/>
                <w:szCs w:val="16"/>
              </w:rPr>
              <w:t>откл</w:t>
            </w:r>
            <w:proofErr w:type="spellEnd"/>
            <w:r w:rsidRPr="004E4FD5">
              <w:rPr>
                <w:b/>
                <w:bCs/>
                <w:sz w:val="16"/>
                <w:szCs w:val="16"/>
              </w:rPr>
              <w:t>.</w:t>
            </w:r>
          </w:p>
        </w:tc>
      </w:tr>
      <w:tr w:rsidR="004E4FD5" w:rsidRPr="004E4FD5" w14:paraId="57C2B898" w14:textId="35B6596D" w:rsidTr="000924AC">
        <w:trPr>
          <w:jc w:val="center"/>
        </w:trPr>
        <w:tc>
          <w:tcPr>
            <w:tcW w:w="1271" w:type="dxa"/>
          </w:tcPr>
          <w:p w14:paraId="2FF3AE5F" w14:textId="53C4B252" w:rsidR="00424A1C" w:rsidRPr="004E4FD5" w:rsidRDefault="00424A1C" w:rsidP="00424A1C">
            <w:pPr>
              <w:jc w:val="both"/>
              <w:rPr>
                <w:sz w:val="16"/>
                <w:szCs w:val="16"/>
              </w:rPr>
            </w:pPr>
            <w:r w:rsidRPr="004E4FD5">
              <w:rPr>
                <w:sz w:val="16"/>
                <w:szCs w:val="16"/>
              </w:rPr>
              <w:t>К1</w:t>
            </w:r>
          </w:p>
        </w:tc>
        <w:tc>
          <w:tcPr>
            <w:tcW w:w="1276" w:type="dxa"/>
          </w:tcPr>
          <w:p w14:paraId="3275441C" w14:textId="79315C9B" w:rsidR="00424A1C" w:rsidRPr="004E4FD5" w:rsidRDefault="00424A1C" w:rsidP="00424A1C">
            <w:pPr>
              <w:jc w:val="both"/>
              <w:rPr>
                <w:sz w:val="16"/>
                <w:szCs w:val="16"/>
              </w:rPr>
            </w:pPr>
            <w:r w:rsidRPr="004E4FD5">
              <w:rPr>
                <w:sz w:val="16"/>
                <w:szCs w:val="16"/>
              </w:rPr>
              <w:t>580</w:t>
            </w:r>
          </w:p>
        </w:tc>
        <w:tc>
          <w:tcPr>
            <w:tcW w:w="992" w:type="dxa"/>
          </w:tcPr>
          <w:p w14:paraId="25EC8A01" w14:textId="1556388C" w:rsidR="00424A1C" w:rsidRPr="004E4FD5" w:rsidRDefault="00424A1C" w:rsidP="00424A1C">
            <w:pPr>
              <w:jc w:val="both"/>
              <w:rPr>
                <w:sz w:val="16"/>
                <w:szCs w:val="16"/>
              </w:rPr>
            </w:pPr>
            <w:r w:rsidRPr="004E4FD5">
              <w:rPr>
                <w:sz w:val="16"/>
                <w:szCs w:val="16"/>
              </w:rPr>
              <w:t>0,9354</w:t>
            </w:r>
          </w:p>
        </w:tc>
        <w:tc>
          <w:tcPr>
            <w:tcW w:w="1134" w:type="dxa"/>
          </w:tcPr>
          <w:p w14:paraId="1CF79798" w14:textId="25706BB6" w:rsidR="00424A1C" w:rsidRPr="004E4FD5" w:rsidRDefault="00424A1C" w:rsidP="00424A1C">
            <w:pPr>
              <w:jc w:val="both"/>
              <w:rPr>
                <w:sz w:val="16"/>
                <w:szCs w:val="16"/>
              </w:rPr>
            </w:pPr>
            <w:r w:rsidRPr="004E4FD5">
              <w:rPr>
                <w:sz w:val="16"/>
                <w:szCs w:val="16"/>
              </w:rPr>
              <w:t>0,0371</w:t>
            </w:r>
          </w:p>
        </w:tc>
      </w:tr>
      <w:tr w:rsidR="004E4FD5" w:rsidRPr="004E4FD5" w14:paraId="52F34F96" w14:textId="7A25AA4A" w:rsidTr="000924AC">
        <w:trPr>
          <w:jc w:val="center"/>
        </w:trPr>
        <w:tc>
          <w:tcPr>
            <w:tcW w:w="1271" w:type="dxa"/>
          </w:tcPr>
          <w:p w14:paraId="64307190" w14:textId="22913D7E" w:rsidR="00424A1C" w:rsidRPr="004E4FD5" w:rsidRDefault="00424A1C" w:rsidP="00424A1C">
            <w:pPr>
              <w:jc w:val="both"/>
              <w:rPr>
                <w:sz w:val="16"/>
                <w:szCs w:val="16"/>
              </w:rPr>
            </w:pPr>
            <w:r w:rsidRPr="004E4FD5">
              <w:rPr>
                <w:sz w:val="16"/>
                <w:szCs w:val="16"/>
              </w:rPr>
              <w:t>К4</w:t>
            </w:r>
          </w:p>
        </w:tc>
        <w:tc>
          <w:tcPr>
            <w:tcW w:w="1276" w:type="dxa"/>
          </w:tcPr>
          <w:p w14:paraId="3181930E" w14:textId="0BC734FD" w:rsidR="00424A1C" w:rsidRPr="004E4FD5" w:rsidRDefault="00424A1C" w:rsidP="00424A1C">
            <w:pPr>
              <w:jc w:val="both"/>
              <w:rPr>
                <w:sz w:val="16"/>
                <w:szCs w:val="16"/>
              </w:rPr>
            </w:pPr>
            <w:r w:rsidRPr="004E4FD5">
              <w:rPr>
                <w:sz w:val="16"/>
                <w:szCs w:val="16"/>
              </w:rPr>
              <w:t>763</w:t>
            </w:r>
          </w:p>
        </w:tc>
        <w:tc>
          <w:tcPr>
            <w:tcW w:w="992" w:type="dxa"/>
          </w:tcPr>
          <w:p w14:paraId="39F24760" w14:textId="1BCF4DB1" w:rsidR="00424A1C" w:rsidRPr="004E4FD5" w:rsidRDefault="00424A1C" w:rsidP="00424A1C">
            <w:pPr>
              <w:jc w:val="both"/>
              <w:rPr>
                <w:sz w:val="16"/>
                <w:szCs w:val="16"/>
              </w:rPr>
            </w:pPr>
            <w:r w:rsidRPr="004E4FD5">
              <w:rPr>
                <w:sz w:val="16"/>
                <w:szCs w:val="16"/>
              </w:rPr>
              <w:t>0,9357</w:t>
            </w:r>
          </w:p>
        </w:tc>
        <w:tc>
          <w:tcPr>
            <w:tcW w:w="1134" w:type="dxa"/>
          </w:tcPr>
          <w:p w14:paraId="6E29B246" w14:textId="22682C58" w:rsidR="00424A1C" w:rsidRPr="004E4FD5" w:rsidRDefault="00424A1C" w:rsidP="00424A1C">
            <w:pPr>
              <w:jc w:val="both"/>
              <w:rPr>
                <w:sz w:val="16"/>
                <w:szCs w:val="16"/>
              </w:rPr>
            </w:pPr>
            <w:r w:rsidRPr="004E4FD5">
              <w:rPr>
                <w:sz w:val="16"/>
                <w:szCs w:val="16"/>
              </w:rPr>
              <w:t>0,0318</w:t>
            </w:r>
          </w:p>
        </w:tc>
      </w:tr>
      <w:tr w:rsidR="004E4FD5" w:rsidRPr="004E4FD5" w14:paraId="0662E940" w14:textId="1368A611" w:rsidTr="000924AC">
        <w:trPr>
          <w:jc w:val="center"/>
        </w:trPr>
        <w:tc>
          <w:tcPr>
            <w:tcW w:w="1271" w:type="dxa"/>
          </w:tcPr>
          <w:p w14:paraId="5B40FC9D" w14:textId="0BD9E5F3" w:rsidR="00424A1C" w:rsidRPr="004E4FD5" w:rsidRDefault="00424A1C" w:rsidP="00424A1C">
            <w:pPr>
              <w:jc w:val="both"/>
              <w:rPr>
                <w:sz w:val="16"/>
                <w:szCs w:val="16"/>
              </w:rPr>
            </w:pPr>
            <w:r w:rsidRPr="004E4FD5">
              <w:rPr>
                <w:sz w:val="16"/>
                <w:szCs w:val="16"/>
              </w:rPr>
              <w:t>К6</w:t>
            </w:r>
          </w:p>
        </w:tc>
        <w:tc>
          <w:tcPr>
            <w:tcW w:w="1276" w:type="dxa"/>
          </w:tcPr>
          <w:p w14:paraId="67280C0B" w14:textId="509FAF51" w:rsidR="00424A1C" w:rsidRPr="004E4FD5" w:rsidRDefault="00424A1C" w:rsidP="00424A1C">
            <w:pPr>
              <w:jc w:val="both"/>
              <w:rPr>
                <w:sz w:val="16"/>
                <w:szCs w:val="16"/>
              </w:rPr>
            </w:pPr>
            <w:r w:rsidRPr="004E4FD5">
              <w:rPr>
                <w:sz w:val="16"/>
                <w:szCs w:val="16"/>
              </w:rPr>
              <w:t>1 200</w:t>
            </w:r>
          </w:p>
        </w:tc>
        <w:tc>
          <w:tcPr>
            <w:tcW w:w="992" w:type="dxa"/>
          </w:tcPr>
          <w:p w14:paraId="5554CC41" w14:textId="698BE68C" w:rsidR="00424A1C" w:rsidRPr="004E4FD5" w:rsidRDefault="00424A1C" w:rsidP="00424A1C">
            <w:pPr>
              <w:jc w:val="both"/>
              <w:rPr>
                <w:sz w:val="16"/>
                <w:szCs w:val="16"/>
              </w:rPr>
            </w:pPr>
            <w:r w:rsidRPr="004E4FD5">
              <w:rPr>
                <w:sz w:val="16"/>
                <w:szCs w:val="16"/>
              </w:rPr>
              <w:t>0,9388</w:t>
            </w:r>
          </w:p>
        </w:tc>
        <w:tc>
          <w:tcPr>
            <w:tcW w:w="1134" w:type="dxa"/>
          </w:tcPr>
          <w:p w14:paraId="7F6E9CB4" w14:textId="41D94D4C" w:rsidR="00424A1C" w:rsidRPr="004E4FD5" w:rsidRDefault="00424A1C" w:rsidP="00424A1C">
            <w:pPr>
              <w:jc w:val="both"/>
              <w:rPr>
                <w:sz w:val="16"/>
                <w:szCs w:val="16"/>
              </w:rPr>
            </w:pPr>
            <w:r w:rsidRPr="004E4FD5">
              <w:rPr>
                <w:sz w:val="16"/>
                <w:szCs w:val="16"/>
              </w:rPr>
              <w:t>0,0336</w:t>
            </w:r>
          </w:p>
        </w:tc>
      </w:tr>
      <w:tr w:rsidR="004E4FD5" w:rsidRPr="004E4FD5" w14:paraId="3998CB13" w14:textId="1073C6CB" w:rsidTr="000924AC">
        <w:trPr>
          <w:jc w:val="center"/>
        </w:trPr>
        <w:tc>
          <w:tcPr>
            <w:tcW w:w="1271" w:type="dxa"/>
          </w:tcPr>
          <w:p w14:paraId="1B9AFB44" w14:textId="202BAE8E" w:rsidR="00424A1C" w:rsidRPr="004E4FD5" w:rsidRDefault="00424A1C" w:rsidP="00424A1C">
            <w:pPr>
              <w:jc w:val="both"/>
              <w:rPr>
                <w:sz w:val="16"/>
                <w:szCs w:val="16"/>
              </w:rPr>
            </w:pPr>
            <w:r w:rsidRPr="004E4FD5">
              <w:rPr>
                <w:sz w:val="16"/>
                <w:szCs w:val="16"/>
              </w:rPr>
              <w:t>К5</w:t>
            </w:r>
          </w:p>
        </w:tc>
        <w:tc>
          <w:tcPr>
            <w:tcW w:w="1276" w:type="dxa"/>
          </w:tcPr>
          <w:p w14:paraId="23A63054" w14:textId="58AC9EFB" w:rsidR="00424A1C" w:rsidRPr="004E4FD5" w:rsidRDefault="00424A1C" w:rsidP="00424A1C">
            <w:pPr>
              <w:jc w:val="both"/>
              <w:rPr>
                <w:sz w:val="16"/>
                <w:szCs w:val="16"/>
              </w:rPr>
            </w:pPr>
            <w:r w:rsidRPr="004E4FD5">
              <w:rPr>
                <w:sz w:val="16"/>
                <w:szCs w:val="16"/>
              </w:rPr>
              <w:t>344</w:t>
            </w:r>
          </w:p>
        </w:tc>
        <w:tc>
          <w:tcPr>
            <w:tcW w:w="992" w:type="dxa"/>
          </w:tcPr>
          <w:p w14:paraId="1E2ED54F" w14:textId="6B498BB6" w:rsidR="00424A1C" w:rsidRPr="004E4FD5" w:rsidRDefault="00424A1C" w:rsidP="00424A1C">
            <w:pPr>
              <w:jc w:val="both"/>
              <w:rPr>
                <w:sz w:val="16"/>
                <w:szCs w:val="16"/>
              </w:rPr>
            </w:pPr>
            <w:r w:rsidRPr="004E4FD5">
              <w:rPr>
                <w:sz w:val="16"/>
                <w:szCs w:val="16"/>
              </w:rPr>
              <w:t>0,9391</w:t>
            </w:r>
          </w:p>
        </w:tc>
        <w:tc>
          <w:tcPr>
            <w:tcW w:w="1134" w:type="dxa"/>
          </w:tcPr>
          <w:p w14:paraId="010E3C48" w14:textId="3092AB81" w:rsidR="00424A1C" w:rsidRPr="004E4FD5" w:rsidRDefault="00424A1C" w:rsidP="00424A1C">
            <w:pPr>
              <w:jc w:val="both"/>
              <w:rPr>
                <w:sz w:val="16"/>
                <w:szCs w:val="16"/>
              </w:rPr>
            </w:pPr>
            <w:r w:rsidRPr="004E4FD5">
              <w:rPr>
                <w:sz w:val="16"/>
                <w:szCs w:val="16"/>
              </w:rPr>
              <w:t>0,0434</w:t>
            </w:r>
          </w:p>
        </w:tc>
      </w:tr>
      <w:tr w:rsidR="004E4FD5" w:rsidRPr="004E4FD5" w14:paraId="6BC8BBCA" w14:textId="02258A93" w:rsidTr="000924AC">
        <w:trPr>
          <w:jc w:val="center"/>
        </w:trPr>
        <w:tc>
          <w:tcPr>
            <w:tcW w:w="1271" w:type="dxa"/>
          </w:tcPr>
          <w:p w14:paraId="35B37976" w14:textId="391FF196" w:rsidR="00424A1C" w:rsidRPr="004E4FD5" w:rsidRDefault="00424A1C" w:rsidP="00424A1C">
            <w:pPr>
              <w:jc w:val="both"/>
              <w:rPr>
                <w:sz w:val="16"/>
                <w:szCs w:val="16"/>
              </w:rPr>
            </w:pPr>
            <w:r w:rsidRPr="004E4FD5">
              <w:rPr>
                <w:sz w:val="16"/>
                <w:szCs w:val="16"/>
              </w:rPr>
              <w:t>К3</w:t>
            </w:r>
          </w:p>
        </w:tc>
        <w:tc>
          <w:tcPr>
            <w:tcW w:w="1276" w:type="dxa"/>
          </w:tcPr>
          <w:p w14:paraId="41476A60" w14:textId="724318BD" w:rsidR="00424A1C" w:rsidRPr="004E4FD5" w:rsidRDefault="00424A1C" w:rsidP="00424A1C">
            <w:pPr>
              <w:jc w:val="both"/>
              <w:rPr>
                <w:sz w:val="16"/>
                <w:szCs w:val="16"/>
              </w:rPr>
            </w:pPr>
            <w:r w:rsidRPr="004E4FD5">
              <w:rPr>
                <w:sz w:val="16"/>
                <w:szCs w:val="16"/>
              </w:rPr>
              <w:t>183</w:t>
            </w:r>
          </w:p>
        </w:tc>
        <w:tc>
          <w:tcPr>
            <w:tcW w:w="992" w:type="dxa"/>
          </w:tcPr>
          <w:p w14:paraId="4D4E37AB" w14:textId="427215A7" w:rsidR="00424A1C" w:rsidRPr="004E4FD5" w:rsidRDefault="00424A1C" w:rsidP="00424A1C">
            <w:pPr>
              <w:jc w:val="both"/>
              <w:rPr>
                <w:sz w:val="16"/>
                <w:szCs w:val="16"/>
              </w:rPr>
            </w:pPr>
            <w:r w:rsidRPr="004E4FD5">
              <w:rPr>
                <w:sz w:val="16"/>
                <w:szCs w:val="16"/>
              </w:rPr>
              <w:t>0,9416</w:t>
            </w:r>
          </w:p>
        </w:tc>
        <w:tc>
          <w:tcPr>
            <w:tcW w:w="1134" w:type="dxa"/>
          </w:tcPr>
          <w:p w14:paraId="06D1DEC4" w14:textId="283BBE22" w:rsidR="00424A1C" w:rsidRPr="004E4FD5" w:rsidRDefault="00424A1C" w:rsidP="00424A1C">
            <w:pPr>
              <w:jc w:val="both"/>
              <w:rPr>
                <w:sz w:val="16"/>
                <w:szCs w:val="16"/>
              </w:rPr>
            </w:pPr>
            <w:r w:rsidRPr="004E4FD5">
              <w:rPr>
                <w:sz w:val="16"/>
                <w:szCs w:val="16"/>
              </w:rPr>
              <w:t>0,0315</w:t>
            </w:r>
          </w:p>
        </w:tc>
      </w:tr>
      <w:tr w:rsidR="004E4FD5" w:rsidRPr="004E4FD5" w14:paraId="0A4F9524" w14:textId="7D3EB8D4" w:rsidTr="000924AC">
        <w:trPr>
          <w:jc w:val="center"/>
        </w:trPr>
        <w:tc>
          <w:tcPr>
            <w:tcW w:w="1271" w:type="dxa"/>
          </w:tcPr>
          <w:p w14:paraId="0ED92933" w14:textId="0A2CD598" w:rsidR="00424A1C" w:rsidRPr="004E4FD5" w:rsidRDefault="00424A1C" w:rsidP="00424A1C">
            <w:pPr>
              <w:jc w:val="both"/>
              <w:rPr>
                <w:sz w:val="16"/>
                <w:szCs w:val="16"/>
              </w:rPr>
            </w:pPr>
            <w:r w:rsidRPr="004E4FD5">
              <w:rPr>
                <w:sz w:val="16"/>
                <w:szCs w:val="16"/>
              </w:rPr>
              <w:t>К2</w:t>
            </w:r>
          </w:p>
        </w:tc>
        <w:tc>
          <w:tcPr>
            <w:tcW w:w="1276" w:type="dxa"/>
          </w:tcPr>
          <w:p w14:paraId="3C0E43E6" w14:textId="3E361AD8" w:rsidR="00424A1C" w:rsidRPr="004E4FD5" w:rsidRDefault="00424A1C" w:rsidP="00424A1C">
            <w:pPr>
              <w:jc w:val="both"/>
              <w:rPr>
                <w:sz w:val="16"/>
                <w:szCs w:val="16"/>
              </w:rPr>
            </w:pPr>
            <w:r w:rsidRPr="004E4FD5">
              <w:rPr>
                <w:sz w:val="16"/>
                <w:szCs w:val="16"/>
              </w:rPr>
              <w:t>2 632</w:t>
            </w:r>
          </w:p>
        </w:tc>
        <w:tc>
          <w:tcPr>
            <w:tcW w:w="992" w:type="dxa"/>
          </w:tcPr>
          <w:p w14:paraId="28371244" w14:textId="5E6042F1" w:rsidR="00424A1C" w:rsidRPr="004E4FD5" w:rsidRDefault="00424A1C" w:rsidP="00424A1C">
            <w:pPr>
              <w:jc w:val="both"/>
              <w:rPr>
                <w:sz w:val="16"/>
                <w:szCs w:val="16"/>
              </w:rPr>
            </w:pPr>
            <w:r w:rsidRPr="004E4FD5">
              <w:rPr>
                <w:sz w:val="16"/>
                <w:szCs w:val="16"/>
              </w:rPr>
              <w:t>0,9468</w:t>
            </w:r>
          </w:p>
        </w:tc>
        <w:tc>
          <w:tcPr>
            <w:tcW w:w="1134" w:type="dxa"/>
          </w:tcPr>
          <w:p w14:paraId="252EF3CE" w14:textId="2B27C09E" w:rsidR="00424A1C" w:rsidRPr="004E4FD5" w:rsidRDefault="00424A1C" w:rsidP="00424A1C">
            <w:pPr>
              <w:jc w:val="both"/>
              <w:rPr>
                <w:sz w:val="16"/>
                <w:szCs w:val="16"/>
              </w:rPr>
            </w:pPr>
            <w:r w:rsidRPr="004E4FD5">
              <w:rPr>
                <w:sz w:val="16"/>
                <w:szCs w:val="16"/>
              </w:rPr>
              <w:t>0,0342</w:t>
            </w:r>
          </w:p>
        </w:tc>
      </w:tr>
    </w:tbl>
    <w:p w14:paraId="385E2190" w14:textId="6494BED4" w:rsidR="006978B6" w:rsidRPr="004E4FD5" w:rsidRDefault="00C7052D" w:rsidP="000924AC">
      <w:pPr>
        <w:pStyle w:val="a3"/>
        <w:spacing w:before="120"/>
      </w:pPr>
      <w:r w:rsidRPr="004E4FD5">
        <w:t>Наименьшее согласие зафиксировано для категорий К1 (Регулирование) и К4 (Внедрение и партнёрства) текстов, допускающих широкую интерпретационную вариативность. Наибольшее согласие достигается для К</w:t>
      </w:r>
      <w:proofErr w:type="gramStart"/>
      <w:r w:rsidRPr="004E4FD5">
        <w:t>2</w:t>
      </w:r>
      <w:proofErr w:type="gramEnd"/>
      <w:r w:rsidRPr="004E4FD5">
        <w:t xml:space="preserve"> (Рыночная динамика), что объясняется структурированностью рыночных данных и однозначностью их тематического контекста.</w:t>
      </w:r>
    </w:p>
    <w:p w14:paraId="263A10DF" w14:textId="2EEC3D9C" w:rsidR="00064A99" w:rsidRPr="004E4FD5" w:rsidRDefault="00064A99" w:rsidP="00064A99">
      <w:pPr>
        <w:pStyle w:val="1"/>
        <w:tabs>
          <w:tab w:val="clear" w:pos="425"/>
          <w:tab w:val="left" w:pos="216"/>
          <w:tab w:val="num" w:pos="786"/>
        </w:tabs>
        <w:ind w:firstLine="0"/>
      </w:pPr>
      <w:r w:rsidRPr="004E4FD5">
        <w:t>Корреляционный анализ</w:t>
      </w:r>
    </w:p>
    <w:p w14:paraId="1C23853C" w14:textId="7C57C9A8" w:rsidR="00064A99" w:rsidRPr="004E4FD5" w:rsidRDefault="0048059B" w:rsidP="000924AC">
      <w:pPr>
        <w:pStyle w:val="a3"/>
      </w:pPr>
      <w:r w:rsidRPr="004E4FD5">
        <w:t>Для выявления факторов, влияющих на уровень межмодельного согласия, вычислены коэффициенты корреляции Пирсона. Результаты представлены в табл. 5.</w:t>
      </w:r>
    </w:p>
    <w:p w14:paraId="128E1D8F" w14:textId="0964042C" w:rsidR="0048059B" w:rsidRPr="004E4FD5" w:rsidRDefault="000924AC" w:rsidP="000924AC">
      <w:pPr>
        <w:pStyle w:val="a1"/>
        <w:spacing w:before="120"/>
      </w:pPr>
      <w:r>
        <w:br w:type="column"/>
      </w:r>
    </w:p>
    <w:tbl>
      <w:tblPr>
        <w:tblStyle w:val="af0"/>
        <w:tblW w:w="4871" w:type="dxa"/>
        <w:jc w:val="center"/>
        <w:tblLook w:val="04A0" w:firstRow="1" w:lastRow="0" w:firstColumn="1" w:lastColumn="0" w:noHBand="0" w:noVBand="1"/>
      </w:tblPr>
      <w:tblGrid>
        <w:gridCol w:w="1602"/>
        <w:gridCol w:w="1231"/>
        <w:gridCol w:w="2038"/>
      </w:tblGrid>
      <w:tr w:rsidR="004E4FD5" w:rsidRPr="004E4FD5" w14:paraId="2884674C" w14:textId="77777777" w:rsidTr="000924AC">
        <w:trPr>
          <w:jc w:val="center"/>
        </w:trPr>
        <w:tc>
          <w:tcPr>
            <w:tcW w:w="1602" w:type="dxa"/>
          </w:tcPr>
          <w:p w14:paraId="4BF15F59" w14:textId="7138BA8C" w:rsidR="00F06AB0" w:rsidRPr="004E4FD5" w:rsidRDefault="00F06AB0" w:rsidP="003D28D6">
            <w:pPr>
              <w:pStyle w:val="af1"/>
              <w:rPr>
                <w:b/>
              </w:rPr>
            </w:pPr>
            <w:r w:rsidRPr="004E4FD5">
              <w:rPr>
                <w:b/>
              </w:rPr>
              <w:t>Пара переменных</w:t>
            </w:r>
          </w:p>
        </w:tc>
        <w:tc>
          <w:tcPr>
            <w:tcW w:w="1231" w:type="dxa"/>
          </w:tcPr>
          <w:p w14:paraId="05E3B293" w14:textId="7C50D594" w:rsidR="00F06AB0" w:rsidRPr="004E4FD5" w:rsidRDefault="00F06AB0" w:rsidP="003D28D6">
            <w:pPr>
              <w:pStyle w:val="af1"/>
              <w:rPr>
                <w:b/>
              </w:rPr>
            </w:pPr>
            <w:r w:rsidRPr="004E4FD5">
              <w:rPr>
                <w:b/>
              </w:rPr>
              <w:t>Коэффициент корреляций</w:t>
            </w:r>
          </w:p>
        </w:tc>
        <w:tc>
          <w:tcPr>
            <w:tcW w:w="2038" w:type="dxa"/>
          </w:tcPr>
          <w:p w14:paraId="0B4671B2" w14:textId="545E1F27" w:rsidR="00F06AB0" w:rsidRPr="004E4FD5" w:rsidRDefault="00F06AB0" w:rsidP="003D28D6">
            <w:pPr>
              <w:pStyle w:val="af1"/>
              <w:rPr>
                <w:b/>
              </w:rPr>
            </w:pPr>
            <w:r w:rsidRPr="004E4FD5">
              <w:rPr>
                <w:b/>
              </w:rPr>
              <w:t>Характер связи</w:t>
            </w:r>
          </w:p>
        </w:tc>
      </w:tr>
      <w:tr w:rsidR="004E4FD5" w:rsidRPr="004E4FD5" w14:paraId="0DDC2641" w14:textId="77777777" w:rsidTr="000924AC">
        <w:trPr>
          <w:jc w:val="center"/>
        </w:trPr>
        <w:tc>
          <w:tcPr>
            <w:tcW w:w="1602" w:type="dxa"/>
          </w:tcPr>
          <w:p w14:paraId="7A7B99D6" w14:textId="21BF43A1" w:rsidR="00F06AB0" w:rsidRPr="004E4FD5" w:rsidRDefault="00F06AB0" w:rsidP="00F06AB0">
            <w:pPr>
              <w:pStyle w:val="af1"/>
              <w:rPr>
                <w:szCs w:val="16"/>
              </w:rPr>
            </w:pPr>
            <w:r w:rsidRPr="004E4FD5">
              <w:rPr>
                <w:szCs w:val="16"/>
              </w:rPr>
              <w:t xml:space="preserve">AR  </w:t>
            </w:r>
            <w:proofErr w:type="spellStart"/>
            <w:r w:rsidRPr="004E4FD5">
              <w:rPr>
                <w:szCs w:val="16"/>
              </w:rPr>
              <w:t>Impact</w:t>
            </w:r>
            <w:proofErr w:type="spellEnd"/>
            <w:r w:rsidRPr="004E4FD5">
              <w:rPr>
                <w:szCs w:val="16"/>
              </w:rPr>
              <w:t xml:space="preserve"> </w:t>
            </w:r>
            <w:proofErr w:type="spellStart"/>
            <w:r w:rsidRPr="004E4FD5">
              <w:rPr>
                <w:szCs w:val="16"/>
              </w:rPr>
              <w:t>Score</w:t>
            </w:r>
            <w:proofErr w:type="spellEnd"/>
          </w:p>
        </w:tc>
        <w:tc>
          <w:tcPr>
            <w:tcW w:w="1231" w:type="dxa"/>
          </w:tcPr>
          <w:p w14:paraId="72C98EAA" w14:textId="2394C8B8" w:rsidR="00F06AB0" w:rsidRPr="004E4FD5" w:rsidRDefault="00F06AB0" w:rsidP="00F06AB0">
            <w:pPr>
              <w:pStyle w:val="af1"/>
              <w:rPr>
                <w:szCs w:val="16"/>
              </w:rPr>
            </w:pPr>
            <w:r w:rsidRPr="004E4FD5">
              <w:rPr>
                <w:szCs w:val="16"/>
              </w:rPr>
              <w:t>0,0664</w:t>
            </w:r>
          </w:p>
        </w:tc>
        <w:tc>
          <w:tcPr>
            <w:tcW w:w="2038" w:type="dxa"/>
          </w:tcPr>
          <w:p w14:paraId="39730D90" w14:textId="73CB239F" w:rsidR="00F06AB0" w:rsidRPr="004E4FD5" w:rsidRDefault="00F06AB0" w:rsidP="00F06AB0">
            <w:pPr>
              <w:pStyle w:val="af1"/>
              <w:rPr>
                <w:szCs w:val="16"/>
              </w:rPr>
            </w:pPr>
            <w:r w:rsidRPr="004E4FD5">
              <w:rPr>
                <w:szCs w:val="16"/>
              </w:rPr>
              <w:t>Слабая положительная</w:t>
            </w:r>
          </w:p>
        </w:tc>
      </w:tr>
      <w:tr w:rsidR="004E4FD5" w:rsidRPr="004E4FD5" w14:paraId="55A6DE1C" w14:textId="77777777" w:rsidTr="000924AC">
        <w:trPr>
          <w:jc w:val="center"/>
        </w:trPr>
        <w:tc>
          <w:tcPr>
            <w:tcW w:w="1602" w:type="dxa"/>
          </w:tcPr>
          <w:p w14:paraId="51B45664" w14:textId="6C5178E5" w:rsidR="00F06AB0" w:rsidRPr="004E4FD5" w:rsidRDefault="00F06AB0" w:rsidP="00F06AB0">
            <w:pPr>
              <w:pStyle w:val="af1"/>
              <w:rPr>
                <w:szCs w:val="16"/>
              </w:rPr>
            </w:pPr>
            <w:r w:rsidRPr="004E4FD5">
              <w:rPr>
                <w:szCs w:val="16"/>
              </w:rPr>
              <w:t xml:space="preserve">AR  </w:t>
            </w:r>
            <w:proofErr w:type="spellStart"/>
            <w:r w:rsidRPr="004E4FD5">
              <w:rPr>
                <w:szCs w:val="16"/>
              </w:rPr>
              <w:t>Абс</w:t>
            </w:r>
            <w:proofErr w:type="spellEnd"/>
            <w:r w:rsidRPr="004E4FD5">
              <w:rPr>
                <w:szCs w:val="16"/>
              </w:rPr>
              <w:t>. значение сентимента</w:t>
            </w:r>
          </w:p>
        </w:tc>
        <w:tc>
          <w:tcPr>
            <w:tcW w:w="1231" w:type="dxa"/>
          </w:tcPr>
          <w:p w14:paraId="0E631ECF" w14:textId="39CAC60F" w:rsidR="00F06AB0" w:rsidRPr="004E4FD5" w:rsidRDefault="00F06AB0" w:rsidP="00F06AB0">
            <w:pPr>
              <w:pStyle w:val="af1"/>
              <w:rPr>
                <w:szCs w:val="16"/>
              </w:rPr>
            </w:pPr>
            <w:r w:rsidRPr="004E4FD5">
              <w:rPr>
                <w:szCs w:val="16"/>
              </w:rPr>
              <w:t>0,2852</w:t>
            </w:r>
          </w:p>
        </w:tc>
        <w:tc>
          <w:tcPr>
            <w:tcW w:w="2038" w:type="dxa"/>
          </w:tcPr>
          <w:p w14:paraId="0BA1B4EF" w14:textId="7A5D22AF" w:rsidR="00F06AB0" w:rsidRPr="004E4FD5" w:rsidRDefault="00F06AB0" w:rsidP="00F06AB0">
            <w:pPr>
              <w:pStyle w:val="af1"/>
              <w:rPr>
                <w:szCs w:val="16"/>
              </w:rPr>
            </w:pPr>
            <w:r w:rsidRPr="004E4FD5">
              <w:rPr>
                <w:szCs w:val="16"/>
              </w:rPr>
              <w:t>Умеренная положительная</w:t>
            </w:r>
          </w:p>
        </w:tc>
      </w:tr>
      <w:tr w:rsidR="004E4FD5" w:rsidRPr="004E4FD5" w14:paraId="17BF6640" w14:textId="77777777" w:rsidTr="000924AC">
        <w:trPr>
          <w:jc w:val="center"/>
        </w:trPr>
        <w:tc>
          <w:tcPr>
            <w:tcW w:w="1602" w:type="dxa"/>
          </w:tcPr>
          <w:p w14:paraId="7DA3B53B" w14:textId="7B8D8852" w:rsidR="00F06AB0" w:rsidRPr="004E4FD5" w:rsidRDefault="00F06AB0" w:rsidP="00F06AB0">
            <w:pPr>
              <w:pStyle w:val="af1"/>
              <w:rPr>
                <w:szCs w:val="16"/>
              </w:rPr>
            </w:pPr>
            <w:r w:rsidRPr="004E4FD5">
              <w:rPr>
                <w:szCs w:val="16"/>
              </w:rPr>
              <w:t>AR  Кол-во токенов</w:t>
            </w:r>
          </w:p>
        </w:tc>
        <w:tc>
          <w:tcPr>
            <w:tcW w:w="1231" w:type="dxa"/>
          </w:tcPr>
          <w:p w14:paraId="0C6C8934" w14:textId="2825789C" w:rsidR="00F06AB0" w:rsidRPr="004E4FD5" w:rsidRDefault="00F06AB0" w:rsidP="00F06AB0">
            <w:pPr>
              <w:pStyle w:val="af1"/>
              <w:rPr>
                <w:szCs w:val="16"/>
              </w:rPr>
            </w:pPr>
            <w:r w:rsidRPr="004E4FD5">
              <w:rPr>
                <w:szCs w:val="16"/>
              </w:rPr>
              <w:t>-0,0915</w:t>
            </w:r>
          </w:p>
        </w:tc>
        <w:tc>
          <w:tcPr>
            <w:tcW w:w="2038" w:type="dxa"/>
          </w:tcPr>
          <w:p w14:paraId="3AD8519A" w14:textId="0DF74821" w:rsidR="00F06AB0" w:rsidRPr="004E4FD5" w:rsidRDefault="00F06AB0" w:rsidP="00F06AB0">
            <w:pPr>
              <w:pStyle w:val="af1"/>
              <w:rPr>
                <w:szCs w:val="16"/>
              </w:rPr>
            </w:pPr>
            <w:r w:rsidRPr="004E4FD5">
              <w:rPr>
                <w:szCs w:val="16"/>
              </w:rPr>
              <w:t>Слабая отрицательная</w:t>
            </w:r>
          </w:p>
        </w:tc>
      </w:tr>
    </w:tbl>
    <w:p w14:paraId="32A7FC23" w14:textId="38DD0D54" w:rsidR="00BE0C44" w:rsidRPr="004E4FD5" w:rsidRDefault="00BE0C44" w:rsidP="000924AC">
      <w:pPr>
        <w:pStyle w:val="a3"/>
        <w:spacing w:before="120"/>
      </w:pPr>
      <w:r w:rsidRPr="004E4FD5">
        <w:t xml:space="preserve">Наиболее значимой оказалась корреляция метрики согласия AR с абсолютным значением сентимента (r  0,29). Полученные нами данные показывают, что тексты с выраженной (полярной) тональностью порождают более согласованные оценки ансамбля: эмоциональный сигнал однозначен для всех агентов, и разброс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4E4FD5">
        <w:t xml:space="preserve"> минимален. </w:t>
      </w:r>
      <w:r w:rsidR="004E4FD5" w:rsidRPr="004E4FD5">
        <w:t>Э</w:t>
      </w:r>
      <w:r w:rsidRPr="004E4FD5">
        <w:t>то не удивляет: модели сходятся на полярных текстах — сигнал ясен, и смысловой разброс снижается; нейтральные или смешанные тональности, напротив, путают классификаторы и порождают больше неопределенности (см. общие подходы в [3; 8]).</w:t>
      </w:r>
    </w:p>
    <w:p w14:paraId="429AF784" w14:textId="77777777" w:rsidR="00F06AB0" w:rsidRPr="004E4FD5" w:rsidRDefault="00F06AB0" w:rsidP="000924AC">
      <w:pPr>
        <w:pStyle w:val="a3"/>
      </w:pPr>
      <w:r w:rsidRPr="004E4FD5">
        <w:t xml:space="preserve">Отрицательная, но очень слабая корреляция с числом токенов (r 0,09) показывает, что объем документа почти не меняет уровень согласия. Длинные тексты дают </w:t>
      </w:r>
      <w:proofErr w:type="gramStart"/>
      <w:r w:rsidRPr="004E4FD5">
        <w:t>побольше</w:t>
      </w:r>
      <w:proofErr w:type="gramEnd"/>
      <w:r w:rsidRPr="004E4FD5">
        <w:t xml:space="preserve"> контекста, и да — это слегка увеличивает вариативность трактовок.</w:t>
      </w:r>
    </w:p>
    <w:p w14:paraId="6B278A40" w14:textId="114B4C40" w:rsidR="00F06AB0" w:rsidRPr="004E4FD5" w:rsidRDefault="00F06AB0" w:rsidP="000924AC">
      <w:pPr>
        <w:pStyle w:val="1"/>
        <w:tabs>
          <w:tab w:val="clear" w:pos="576"/>
        </w:tabs>
      </w:pPr>
      <w:r w:rsidRPr="004E4FD5">
        <w:t>Верификация категориальных меток</w:t>
      </w:r>
    </w:p>
    <w:p w14:paraId="4E96176F" w14:textId="5CBFF50C" w:rsidR="00F06AB0" w:rsidRPr="004E4FD5" w:rsidRDefault="00F06AB0" w:rsidP="000924AC">
      <w:pPr>
        <w:pStyle w:val="a3"/>
      </w:pPr>
      <w:r w:rsidRPr="004E4FD5">
        <w:t xml:space="preserve">Параллельно с мягкой метрикой AR проверили точность каждого агента в категориальной классификации — </w:t>
      </w:r>
      <w:proofErr w:type="gramStart"/>
      <w:r w:rsidRPr="004E4FD5">
        <w:t>кто</w:t>
      </w:r>
      <w:proofErr w:type="gramEnd"/>
      <w:r w:rsidRPr="004E4FD5">
        <w:t xml:space="preserve"> точнее, кто слабее; сравнивали с консенсусом ансамбля (табл. 6).</w:t>
      </w:r>
    </w:p>
    <w:p w14:paraId="0B1C0C4D" w14:textId="77777777" w:rsidR="0048059B" w:rsidRPr="004E4FD5" w:rsidRDefault="0048059B" w:rsidP="0048059B">
      <w:pPr>
        <w:pStyle w:val="a1"/>
      </w:pPr>
    </w:p>
    <w:tbl>
      <w:tblPr>
        <w:tblStyle w:val="af0"/>
        <w:tblW w:w="4871" w:type="dxa"/>
        <w:jc w:val="center"/>
        <w:tblLook w:val="04A0" w:firstRow="1" w:lastRow="0" w:firstColumn="1" w:lastColumn="0" w:noHBand="0" w:noVBand="1"/>
      </w:tblPr>
      <w:tblGrid>
        <w:gridCol w:w="1625"/>
        <w:gridCol w:w="1713"/>
        <w:gridCol w:w="1533"/>
      </w:tblGrid>
      <w:tr w:rsidR="004E4FD5" w:rsidRPr="004E4FD5" w14:paraId="0E7FE0A6" w14:textId="77777777" w:rsidTr="0048059B">
        <w:trPr>
          <w:jc w:val="center"/>
        </w:trPr>
        <w:tc>
          <w:tcPr>
            <w:tcW w:w="1625" w:type="dxa"/>
          </w:tcPr>
          <w:p w14:paraId="7395EB9F" w14:textId="77777777" w:rsidR="00F06AB0" w:rsidRPr="004E4FD5" w:rsidRDefault="00F06AB0" w:rsidP="003D28D6">
            <w:pPr>
              <w:pStyle w:val="af1"/>
              <w:rPr>
                <w:b/>
              </w:rPr>
            </w:pPr>
            <w:r w:rsidRPr="004E4FD5">
              <w:rPr>
                <w:b/>
              </w:rPr>
              <w:t>Пара переменных</w:t>
            </w:r>
          </w:p>
        </w:tc>
        <w:tc>
          <w:tcPr>
            <w:tcW w:w="1713" w:type="dxa"/>
          </w:tcPr>
          <w:p w14:paraId="597D2CD2" w14:textId="77777777" w:rsidR="00F06AB0" w:rsidRPr="004E4FD5" w:rsidRDefault="00F06AB0" w:rsidP="003D28D6">
            <w:pPr>
              <w:pStyle w:val="af1"/>
              <w:rPr>
                <w:b/>
              </w:rPr>
            </w:pPr>
            <w:r w:rsidRPr="004E4FD5">
              <w:rPr>
                <w:b/>
              </w:rPr>
              <w:t>Коэффициент корреляций</w:t>
            </w:r>
          </w:p>
        </w:tc>
        <w:tc>
          <w:tcPr>
            <w:tcW w:w="1533" w:type="dxa"/>
          </w:tcPr>
          <w:p w14:paraId="322D4A15" w14:textId="77777777" w:rsidR="00F06AB0" w:rsidRPr="004E4FD5" w:rsidRDefault="00F06AB0" w:rsidP="003D28D6">
            <w:pPr>
              <w:pStyle w:val="af1"/>
              <w:rPr>
                <w:b/>
              </w:rPr>
            </w:pPr>
            <w:r w:rsidRPr="004E4FD5">
              <w:rPr>
                <w:b/>
              </w:rPr>
              <w:t>Характер связи</w:t>
            </w:r>
          </w:p>
        </w:tc>
      </w:tr>
      <w:tr w:rsidR="004E4FD5" w:rsidRPr="004E4FD5" w14:paraId="4C8968AF" w14:textId="77777777" w:rsidTr="0048059B">
        <w:trPr>
          <w:jc w:val="center"/>
        </w:trPr>
        <w:tc>
          <w:tcPr>
            <w:tcW w:w="1625" w:type="dxa"/>
          </w:tcPr>
          <w:p w14:paraId="5AD9EBB0" w14:textId="50F94D41" w:rsidR="00F06AB0" w:rsidRPr="004E4FD5" w:rsidRDefault="00F06AB0" w:rsidP="00F06AB0">
            <w:pPr>
              <w:pStyle w:val="af1"/>
              <w:rPr>
                <w:bCs/>
                <w:szCs w:val="16"/>
              </w:rPr>
            </w:pPr>
            <w:proofErr w:type="spellStart"/>
            <w:r w:rsidRPr="004E4FD5">
              <w:rPr>
                <w:bCs/>
                <w:szCs w:val="16"/>
              </w:rPr>
              <w:t>DeepSeek</w:t>
            </w:r>
            <w:proofErr w:type="spellEnd"/>
            <w:r w:rsidRPr="004E4FD5">
              <w:rPr>
                <w:bCs/>
                <w:szCs w:val="16"/>
              </w:rPr>
              <w:t xml:space="preserve"> V3.2</w:t>
            </w:r>
          </w:p>
        </w:tc>
        <w:tc>
          <w:tcPr>
            <w:tcW w:w="1713" w:type="dxa"/>
          </w:tcPr>
          <w:p w14:paraId="75339F4B" w14:textId="63DA46B6" w:rsidR="00F06AB0" w:rsidRPr="004E4FD5" w:rsidRDefault="00F06AB0" w:rsidP="00F06AB0">
            <w:pPr>
              <w:pStyle w:val="af1"/>
              <w:rPr>
                <w:bCs/>
                <w:szCs w:val="16"/>
              </w:rPr>
            </w:pPr>
            <w:r w:rsidRPr="004E4FD5">
              <w:rPr>
                <w:bCs/>
                <w:szCs w:val="16"/>
              </w:rPr>
              <w:t>95,47</w:t>
            </w:r>
          </w:p>
        </w:tc>
        <w:tc>
          <w:tcPr>
            <w:tcW w:w="1533" w:type="dxa"/>
          </w:tcPr>
          <w:p w14:paraId="5872F0B6" w14:textId="38222B7D" w:rsidR="00F06AB0" w:rsidRPr="004E4FD5" w:rsidRDefault="00F06AB0" w:rsidP="00F06AB0">
            <w:pPr>
              <w:pStyle w:val="af1"/>
              <w:rPr>
                <w:bCs/>
                <w:szCs w:val="16"/>
              </w:rPr>
            </w:pPr>
            <w:r w:rsidRPr="004E4FD5">
              <w:rPr>
                <w:bCs/>
                <w:szCs w:val="16"/>
              </w:rPr>
              <w:t>93,74</w:t>
            </w:r>
          </w:p>
        </w:tc>
      </w:tr>
      <w:tr w:rsidR="004E4FD5" w:rsidRPr="004E4FD5" w14:paraId="580FC87C" w14:textId="77777777" w:rsidTr="0048059B">
        <w:trPr>
          <w:jc w:val="center"/>
        </w:trPr>
        <w:tc>
          <w:tcPr>
            <w:tcW w:w="1625" w:type="dxa"/>
          </w:tcPr>
          <w:p w14:paraId="4E81D0FF" w14:textId="0720AE59" w:rsidR="00F06AB0" w:rsidRPr="004E4FD5" w:rsidRDefault="00F06AB0" w:rsidP="00F06AB0">
            <w:pPr>
              <w:pStyle w:val="af1"/>
              <w:rPr>
                <w:bCs/>
                <w:szCs w:val="16"/>
              </w:rPr>
            </w:pPr>
            <w:proofErr w:type="spellStart"/>
            <w:r w:rsidRPr="004E4FD5">
              <w:rPr>
                <w:bCs/>
                <w:szCs w:val="16"/>
              </w:rPr>
              <w:t>Grok</w:t>
            </w:r>
            <w:proofErr w:type="spellEnd"/>
            <w:r w:rsidRPr="004E4FD5">
              <w:rPr>
                <w:bCs/>
                <w:szCs w:val="16"/>
              </w:rPr>
              <w:t xml:space="preserve"> 4 </w:t>
            </w:r>
            <w:proofErr w:type="spellStart"/>
            <w:r w:rsidRPr="004E4FD5">
              <w:rPr>
                <w:bCs/>
                <w:szCs w:val="16"/>
              </w:rPr>
              <w:t>Fast</w:t>
            </w:r>
            <w:proofErr w:type="spellEnd"/>
          </w:p>
        </w:tc>
        <w:tc>
          <w:tcPr>
            <w:tcW w:w="1713" w:type="dxa"/>
          </w:tcPr>
          <w:p w14:paraId="653BB527" w14:textId="5D0FCE9E" w:rsidR="00F06AB0" w:rsidRPr="004E4FD5" w:rsidRDefault="00F06AB0" w:rsidP="00F06AB0">
            <w:pPr>
              <w:pStyle w:val="af1"/>
              <w:rPr>
                <w:bCs/>
                <w:szCs w:val="16"/>
              </w:rPr>
            </w:pPr>
            <w:r w:rsidRPr="004E4FD5">
              <w:rPr>
                <w:bCs/>
                <w:szCs w:val="16"/>
              </w:rPr>
              <w:t>88,92</w:t>
            </w:r>
          </w:p>
        </w:tc>
        <w:tc>
          <w:tcPr>
            <w:tcW w:w="1533" w:type="dxa"/>
          </w:tcPr>
          <w:p w14:paraId="3EA1964C" w14:textId="55957448" w:rsidR="00F06AB0" w:rsidRPr="004E4FD5" w:rsidRDefault="00F06AB0" w:rsidP="00F06AB0">
            <w:pPr>
              <w:pStyle w:val="af1"/>
              <w:rPr>
                <w:bCs/>
                <w:szCs w:val="16"/>
              </w:rPr>
            </w:pPr>
            <w:r w:rsidRPr="004E4FD5">
              <w:rPr>
                <w:bCs/>
                <w:szCs w:val="16"/>
              </w:rPr>
              <w:t>87,78</w:t>
            </w:r>
          </w:p>
        </w:tc>
      </w:tr>
      <w:tr w:rsidR="004E4FD5" w:rsidRPr="004E4FD5" w14:paraId="4ACCDEA9" w14:textId="77777777" w:rsidTr="0048059B">
        <w:trPr>
          <w:jc w:val="center"/>
        </w:trPr>
        <w:tc>
          <w:tcPr>
            <w:tcW w:w="1625" w:type="dxa"/>
          </w:tcPr>
          <w:p w14:paraId="708B25F2" w14:textId="0DAEC881" w:rsidR="00F06AB0" w:rsidRPr="004E4FD5" w:rsidRDefault="00F06AB0" w:rsidP="00F06AB0">
            <w:pPr>
              <w:pStyle w:val="af1"/>
              <w:rPr>
                <w:bCs/>
                <w:szCs w:val="16"/>
              </w:rPr>
            </w:pPr>
            <w:r w:rsidRPr="004E4FD5">
              <w:rPr>
                <w:bCs/>
                <w:szCs w:val="16"/>
              </w:rPr>
              <w:t xml:space="preserve">GPT-5 </w:t>
            </w:r>
            <w:proofErr w:type="spellStart"/>
            <w:r w:rsidRPr="004E4FD5">
              <w:rPr>
                <w:bCs/>
                <w:szCs w:val="16"/>
              </w:rPr>
              <w:t>Nano</w:t>
            </w:r>
            <w:proofErr w:type="spellEnd"/>
          </w:p>
        </w:tc>
        <w:tc>
          <w:tcPr>
            <w:tcW w:w="1713" w:type="dxa"/>
          </w:tcPr>
          <w:p w14:paraId="253B9A25" w14:textId="394B0EB2" w:rsidR="00F06AB0" w:rsidRPr="004E4FD5" w:rsidRDefault="00F06AB0" w:rsidP="00F06AB0">
            <w:pPr>
              <w:pStyle w:val="af1"/>
              <w:rPr>
                <w:bCs/>
                <w:szCs w:val="16"/>
              </w:rPr>
            </w:pPr>
            <w:r w:rsidRPr="004E4FD5">
              <w:rPr>
                <w:bCs/>
                <w:szCs w:val="16"/>
              </w:rPr>
              <w:t>77,78</w:t>
            </w:r>
          </w:p>
        </w:tc>
        <w:tc>
          <w:tcPr>
            <w:tcW w:w="1533" w:type="dxa"/>
          </w:tcPr>
          <w:p w14:paraId="7A954033" w14:textId="2F10E21D" w:rsidR="00F06AB0" w:rsidRPr="004E4FD5" w:rsidRDefault="00F06AB0" w:rsidP="00F06AB0">
            <w:pPr>
              <w:pStyle w:val="af1"/>
              <w:rPr>
                <w:bCs/>
                <w:szCs w:val="16"/>
              </w:rPr>
            </w:pPr>
            <w:r w:rsidRPr="004E4FD5">
              <w:rPr>
                <w:bCs/>
                <w:szCs w:val="16"/>
              </w:rPr>
              <w:t>81,29</w:t>
            </w:r>
          </w:p>
        </w:tc>
      </w:tr>
      <w:tr w:rsidR="004E4FD5" w:rsidRPr="004E4FD5" w14:paraId="3E086F49" w14:textId="77777777" w:rsidTr="0048059B">
        <w:trPr>
          <w:jc w:val="center"/>
        </w:trPr>
        <w:tc>
          <w:tcPr>
            <w:tcW w:w="1625" w:type="dxa"/>
          </w:tcPr>
          <w:p w14:paraId="0C36C3E3" w14:textId="35BF3346" w:rsidR="00F06AB0" w:rsidRPr="004E4FD5" w:rsidRDefault="00F06AB0" w:rsidP="00F06AB0">
            <w:pPr>
              <w:pStyle w:val="af1"/>
              <w:rPr>
                <w:bCs/>
                <w:szCs w:val="16"/>
              </w:rPr>
            </w:pPr>
            <w:r w:rsidRPr="004E4FD5">
              <w:rPr>
                <w:bCs/>
                <w:szCs w:val="16"/>
              </w:rPr>
              <w:t>Gemini 2.5 Flash Lite</w:t>
            </w:r>
          </w:p>
        </w:tc>
        <w:tc>
          <w:tcPr>
            <w:tcW w:w="1713" w:type="dxa"/>
          </w:tcPr>
          <w:p w14:paraId="2C058D72" w14:textId="031EDBE0" w:rsidR="00F06AB0" w:rsidRPr="004E4FD5" w:rsidRDefault="00F06AB0" w:rsidP="00F06AB0">
            <w:pPr>
              <w:pStyle w:val="af1"/>
              <w:rPr>
                <w:bCs/>
                <w:szCs w:val="16"/>
              </w:rPr>
            </w:pPr>
            <w:r w:rsidRPr="004E4FD5">
              <w:rPr>
                <w:bCs/>
                <w:szCs w:val="16"/>
              </w:rPr>
              <w:t>70,24</w:t>
            </w:r>
          </w:p>
        </w:tc>
        <w:tc>
          <w:tcPr>
            <w:tcW w:w="1533" w:type="dxa"/>
          </w:tcPr>
          <w:p w14:paraId="6C1007CF" w14:textId="51E5D2E0" w:rsidR="00F06AB0" w:rsidRPr="004E4FD5" w:rsidRDefault="00F06AB0" w:rsidP="00F06AB0">
            <w:pPr>
              <w:pStyle w:val="af1"/>
              <w:rPr>
                <w:bCs/>
                <w:szCs w:val="16"/>
              </w:rPr>
            </w:pPr>
            <w:r w:rsidRPr="004E4FD5">
              <w:rPr>
                <w:bCs/>
                <w:szCs w:val="16"/>
              </w:rPr>
              <w:t>88,80</w:t>
            </w:r>
          </w:p>
        </w:tc>
      </w:tr>
    </w:tbl>
    <w:p w14:paraId="6E7402A2" w14:textId="4681E9D3" w:rsidR="00F06AB0" w:rsidRPr="004E4FD5" w:rsidRDefault="00F06AB0" w:rsidP="000924AC">
      <w:pPr>
        <w:spacing w:before="120" w:after="120" w:line="228" w:lineRule="auto"/>
        <w:ind w:firstLine="289"/>
        <w:jc w:val="both"/>
      </w:pPr>
      <w:r w:rsidRPr="004E4FD5">
        <w:t>Из табл. 6 следует, что DeepSeek V3.2 наиболее стабильно воспроизводит консенсусные метки (95,47 по категории). GPT-5 Nano, несмотря на максимальный объём ответа, демонстрирует наибольшее число категориальных расхождений (77,78), что указывает на высокую вариативность его рассуждений. Gemini 2.5 Flash Lite заметно расходится по категории (70,24). Зато по срочности согласие высокое (88,80). Похоже, одна задача требует более абстрактных суждений, другая — прямых меток.</w:t>
      </w:r>
    </w:p>
    <w:p w14:paraId="7C832726" w14:textId="13AEAFFC" w:rsidR="00F06AB0" w:rsidRPr="004E4FD5" w:rsidRDefault="00F06AB0" w:rsidP="00F06AB0">
      <w:pPr>
        <w:pStyle w:val="1"/>
        <w:tabs>
          <w:tab w:val="clear" w:pos="425"/>
          <w:tab w:val="left" w:pos="216"/>
          <w:tab w:val="num" w:pos="786"/>
        </w:tabs>
        <w:ind w:firstLine="0"/>
      </w:pPr>
      <w:r w:rsidRPr="004E4FD5">
        <w:t>Анализ результатов и обсуждение</w:t>
      </w:r>
    </w:p>
    <w:p w14:paraId="11F75E94" w14:textId="77777777" w:rsidR="00BE0C44" w:rsidRPr="004E4FD5" w:rsidRDefault="00BE0C44" w:rsidP="000924AC">
      <w:pPr>
        <w:pStyle w:val="a3"/>
      </w:pPr>
      <w:r w:rsidRPr="004E4FD5">
        <w:t>Высокий средний AR — 0,942 при стандартном отклонении 0,035 — говорит о воспроизводимости ансамблевой разметки: большинство документов получают согласованные оценки от четырех независимых агентов. Пожалуй, это дает основание применять мажоритарное голосование для автоматической проверки меток без ручной правки [6].</w:t>
      </w:r>
    </w:p>
    <w:p w14:paraId="59F417CD" w14:textId="77777777" w:rsidR="00BE0C44" w:rsidRPr="004E4FD5" w:rsidRDefault="00BE0C44" w:rsidP="000924AC">
      <w:pPr>
        <w:pStyle w:val="a3"/>
      </w:pPr>
      <w:r w:rsidRPr="004E4FD5">
        <w:t xml:space="preserve">Из 5 702 статей лишь 83 (1,46) получили AR 0,85. Разбор этой горстки выявил три частых проблемы. Во-первых, минималистичные заголовки без смыслового контекста — например, avax или BTC Short Update — не дают агентам достаточно материала для согласованной классификации. Во-вторых, мультимедийный контент, особенно видео с коротким описанием, дает разную реакцию оценщиков. И в-третьих, прогнозы с </w:t>
      </w:r>
      <w:r w:rsidRPr="004E4FD5">
        <w:lastRenderedPageBreak/>
        <w:t xml:space="preserve">неоднозначной тональностью — скажем, Report: Tokenized Gold Will Trigger the Collapse of Global Paper Gold Market — легко открываются для разных толкований, что приводит к разбросу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4E4FD5">
        <w:t>.</w:t>
      </w:r>
    </w:p>
    <w:p w14:paraId="0441EA9E" w14:textId="63510F08" w:rsidR="00BE0C44" w:rsidRPr="004E4FD5" w:rsidRDefault="00BE0C44" w:rsidP="000924AC">
      <w:pPr>
        <w:pStyle w:val="a3"/>
      </w:pPr>
      <w:r w:rsidRPr="004E4FD5">
        <w:t xml:space="preserve">Тип срочности </w:t>
      </w:r>
      <w:r w:rsidRPr="00C26294">
        <w:rPr>
          <w:i/>
          <w:iCs/>
        </w:rPr>
        <w:t>Запланировано</w:t>
      </w:r>
      <w:r w:rsidRPr="004E4FD5">
        <w:t xml:space="preserve"> демонстрирует наименьшее согласие (AR 0,9327</w:t>
      </w:r>
      <w:r w:rsidR="00C26294" w:rsidRPr="004E4FD5">
        <w:t>) предположительно</w:t>
      </w:r>
      <w:r w:rsidRPr="004E4FD5">
        <w:t xml:space="preserve"> из-за размытой временной отнесённости анонсируемых событий, которая по-разному оценивается агентами. Тип </w:t>
      </w:r>
      <w:r w:rsidRPr="00C26294">
        <w:rPr>
          <w:i/>
          <w:iCs/>
        </w:rPr>
        <w:t>Прогноз</w:t>
      </w:r>
      <w:r w:rsidRPr="004E4FD5">
        <w:t xml:space="preserve"> показывает наибольший AR (0,9450) вследствие стереотипичности формулировок прогностических текстов.</w:t>
      </w:r>
    </w:p>
    <w:p w14:paraId="4E0639F5" w14:textId="77777777" w:rsidR="003915FB" w:rsidRPr="004E4FD5" w:rsidRDefault="003915FB" w:rsidP="003915FB">
      <w:pPr>
        <w:pStyle w:val="1"/>
        <w:tabs>
          <w:tab w:val="clear" w:pos="425"/>
          <w:tab w:val="left" w:pos="216"/>
          <w:tab w:val="num" w:pos="786"/>
        </w:tabs>
        <w:ind w:firstLine="0"/>
      </w:pPr>
      <w:r w:rsidRPr="004E4FD5">
        <w:t>Заключение</w:t>
      </w:r>
    </w:p>
    <w:p w14:paraId="2A82C5F3" w14:textId="77777777" w:rsidR="00F06AB0" w:rsidRPr="004E4FD5" w:rsidRDefault="00F06AB0" w:rsidP="000924AC">
      <w:pPr>
        <w:pStyle w:val="a3"/>
      </w:pPr>
      <w:r w:rsidRPr="004E4FD5">
        <w:t>В работе формализована и экспериментально верифицирована метрика agreement rate как мягкая мера согласия ансамбля больших языковых моделей в задаче автоматической разметки новостных текстов. Метрика основана на нормированном среднем абсолютном отклонении сентиментальных оценок ансамбля и интерпретируется в рамках теории нечётких измерений как мера неопределённости результата разметки.</w:t>
      </w:r>
    </w:p>
    <w:p w14:paraId="4BC6DE1F" w14:textId="77777777" w:rsidR="00F06AB0" w:rsidRPr="004E4FD5" w:rsidRDefault="00F06AB0" w:rsidP="000924AC">
      <w:pPr>
        <w:pStyle w:val="a3"/>
      </w:pPr>
      <w:r w:rsidRPr="004E4FD5">
        <w:t>Основные результаты работы:</w:t>
      </w:r>
    </w:p>
    <w:p w14:paraId="4CEC130C" w14:textId="78955675" w:rsidR="00F06AB0" w:rsidRPr="004E4FD5" w:rsidRDefault="00F06AB0" w:rsidP="000924AC">
      <w:pPr>
        <w:pStyle w:val="-"/>
      </w:pPr>
      <w:r w:rsidRPr="004E4FD5">
        <w:t>Среднее межмодельное согласие по корпусу из 5</w:t>
      </w:r>
      <w:r w:rsidR="00F94627">
        <w:t> </w:t>
      </w:r>
      <w:r w:rsidRPr="004E4FD5">
        <w:t>702 статей составило 0,942 при стандартном отклонении 0,035.</w:t>
      </w:r>
    </w:p>
    <w:p w14:paraId="1E3CD0C8" w14:textId="07EB04B0" w:rsidR="00F06AB0" w:rsidRPr="004E4FD5" w:rsidRDefault="00F06AB0" w:rsidP="000924AC">
      <w:pPr>
        <w:pStyle w:val="-"/>
      </w:pPr>
      <w:r w:rsidRPr="004E4FD5">
        <w:t xml:space="preserve">91,32 статей получили AR 0,90, что подтверждает </w:t>
      </w:r>
      <w:proofErr w:type="gramStart"/>
      <w:r w:rsidRPr="004E4FD5">
        <w:t>высокую</w:t>
      </w:r>
      <w:proofErr w:type="gramEnd"/>
      <w:r w:rsidRPr="004E4FD5">
        <w:t xml:space="preserve"> воспроизводимость ансамблевой разметки.</w:t>
      </w:r>
    </w:p>
    <w:p w14:paraId="141C5787" w14:textId="1422ACC9" w:rsidR="00F06AB0" w:rsidRPr="004E4FD5" w:rsidRDefault="00F06AB0" w:rsidP="000924AC">
      <w:pPr>
        <w:pStyle w:val="-"/>
      </w:pPr>
      <w:r w:rsidRPr="004E4FD5">
        <w:t>Выявлена умеренная положительная корреляция AR с полярностью тональности (r 0,29): явно эмоционально окрашенные тексты анализируются ансамблем более согласованно.</w:t>
      </w:r>
    </w:p>
    <w:p w14:paraId="65A58F0D" w14:textId="6AD1A670" w:rsidR="00F06AB0" w:rsidRPr="004E4FD5" w:rsidRDefault="00F06AB0" w:rsidP="000924AC">
      <w:pPr>
        <w:pStyle w:val="-"/>
        <w:spacing w:after="120"/>
      </w:pPr>
      <w:r w:rsidRPr="004E4FD5">
        <w:t>Предложен практический критерий качества: документы с AR 0,85 рекомендуется направлять на ручную верификацию; таких документов в корпусе 1,46.</w:t>
      </w:r>
    </w:p>
    <w:p w14:paraId="056FB743" w14:textId="1E569AFB" w:rsidR="00F06AB0" w:rsidRPr="004E4FD5" w:rsidRDefault="00F06AB0" w:rsidP="000924AC">
      <w:pPr>
        <w:pStyle w:val="a3"/>
      </w:pPr>
      <w:r w:rsidRPr="004E4FD5">
        <w:lastRenderedPageBreak/>
        <w:t>Перспективными направлениями развития работы являются: расширение метрики AR на категориальные поля через нечёткую меру рассеяния голосов, апробация на корпусах смежных предметных областей, а также разработка адаптивного порогового критерия качества, зависящего от тематической категории документа.</w:t>
      </w:r>
    </w:p>
    <w:p w14:paraId="102ECDDF" w14:textId="39154900" w:rsidR="008C64AA" w:rsidRPr="004E4FD5" w:rsidRDefault="000924AC" w:rsidP="000924AC">
      <w:pPr>
        <w:pStyle w:val="5"/>
      </w:pPr>
      <w:r>
        <w:t>Список л</w:t>
      </w:r>
      <w:r w:rsidR="008C64AA" w:rsidRPr="004E4FD5">
        <w:t>итер</w:t>
      </w:r>
      <w:r>
        <w:t>атуры</w:t>
      </w:r>
    </w:p>
    <w:p w14:paraId="6DDBBC72" w14:textId="7B0A4467" w:rsidR="00BE0C44" w:rsidRPr="00255D12" w:rsidRDefault="000924AC" w:rsidP="000924AC">
      <w:pPr>
        <w:pStyle w:val="a0"/>
        <w:rPr>
          <w:lang w:val="en-US"/>
        </w:rPr>
      </w:pPr>
      <w:r>
        <w:t xml:space="preserve">Машинное обучение: учебник / Е.Ю. Бутырский, В.В. </w:t>
      </w:r>
      <w:proofErr w:type="spellStart"/>
      <w:r>
        <w:t>Цехановский</w:t>
      </w:r>
      <w:proofErr w:type="spellEnd"/>
      <w:r>
        <w:t>, Н.</w:t>
      </w:r>
      <w:r w:rsidR="00BE0C44" w:rsidRPr="004E4FD5">
        <w:t>А. Жукова [и др.]; под ред. В</w:t>
      </w:r>
      <w:r>
        <w:rPr>
          <w:lang w:val="en-US"/>
        </w:rPr>
        <w:t>.</w:t>
      </w:r>
      <w:r w:rsidR="00BE0C44" w:rsidRPr="004E4FD5">
        <w:t>В</w:t>
      </w:r>
      <w:r w:rsidR="00BE0C44" w:rsidRPr="00255D12">
        <w:rPr>
          <w:lang w:val="en-US"/>
        </w:rPr>
        <w:t xml:space="preserve">. </w:t>
      </w:r>
      <w:proofErr w:type="spellStart"/>
      <w:r w:rsidR="00BE0C44" w:rsidRPr="004E4FD5">
        <w:t>Цехановского</w:t>
      </w:r>
      <w:proofErr w:type="spellEnd"/>
      <w:r w:rsidR="00BE0C44" w:rsidRPr="00255D12">
        <w:rPr>
          <w:lang w:val="en-US"/>
        </w:rPr>
        <w:t xml:space="preserve">. </w:t>
      </w:r>
      <w:r w:rsidR="00BE0C44" w:rsidRPr="004E4FD5">
        <w:t>Москва</w:t>
      </w:r>
      <w:r w:rsidR="00BE0C44" w:rsidRPr="00255D12">
        <w:rPr>
          <w:lang w:val="en-US"/>
        </w:rPr>
        <w:t xml:space="preserve">: </w:t>
      </w:r>
      <w:r w:rsidR="00BE0C44" w:rsidRPr="004E4FD5">
        <w:t>Директ</w:t>
      </w:r>
      <w:r w:rsidR="00BE0C44" w:rsidRPr="00255D12">
        <w:rPr>
          <w:lang w:val="en-US"/>
        </w:rPr>
        <w:t>-</w:t>
      </w:r>
      <w:r w:rsidR="00BE0C44" w:rsidRPr="004E4FD5">
        <w:t>Медиа</w:t>
      </w:r>
      <w:r w:rsidR="00BE0C44" w:rsidRPr="00255D12">
        <w:rPr>
          <w:lang w:val="en-US"/>
        </w:rPr>
        <w:t xml:space="preserve">, 2023. 368 </w:t>
      </w:r>
      <w:r w:rsidR="00BE0C44" w:rsidRPr="004E4FD5">
        <w:t>с</w:t>
      </w:r>
      <w:r w:rsidR="00BE0C44" w:rsidRPr="00255D12">
        <w:rPr>
          <w:lang w:val="en-US"/>
        </w:rPr>
        <w:t>.</w:t>
      </w:r>
    </w:p>
    <w:p w14:paraId="21D94BE4" w14:textId="187599AB" w:rsidR="00BE0C44" w:rsidRPr="00255D12" w:rsidRDefault="00BE0C44" w:rsidP="000924AC">
      <w:pPr>
        <w:pStyle w:val="a0"/>
        <w:rPr>
          <w:lang w:val="en-US"/>
        </w:rPr>
      </w:pPr>
      <w:proofErr w:type="spellStart"/>
      <w:r w:rsidRPr="00255D12">
        <w:rPr>
          <w:lang w:val="en-US"/>
        </w:rPr>
        <w:t>Araci</w:t>
      </w:r>
      <w:proofErr w:type="spellEnd"/>
      <w:r w:rsidRPr="00255D12">
        <w:rPr>
          <w:lang w:val="en-US"/>
        </w:rPr>
        <w:t xml:space="preserve"> D. </w:t>
      </w:r>
      <w:proofErr w:type="spellStart"/>
      <w:r w:rsidRPr="00255D12">
        <w:rPr>
          <w:lang w:val="en-US"/>
        </w:rPr>
        <w:t>FinBERT</w:t>
      </w:r>
      <w:proofErr w:type="spellEnd"/>
      <w:r w:rsidRPr="00255D12">
        <w:rPr>
          <w:lang w:val="en-US"/>
        </w:rPr>
        <w:t xml:space="preserve">: Financial Sentiment Analysis with Pre-trained Language Models // </w:t>
      </w:r>
      <w:proofErr w:type="spellStart"/>
      <w:r w:rsidRPr="00255D12">
        <w:rPr>
          <w:lang w:val="en-US"/>
        </w:rPr>
        <w:t>arXiv</w:t>
      </w:r>
      <w:proofErr w:type="spellEnd"/>
      <w:r w:rsidRPr="00255D12">
        <w:rPr>
          <w:lang w:val="en-US"/>
        </w:rPr>
        <w:t xml:space="preserve"> preprint arXiv</w:t>
      </w:r>
      <w:proofErr w:type="gramStart"/>
      <w:r w:rsidRPr="00255D12">
        <w:rPr>
          <w:lang w:val="en-US"/>
        </w:rPr>
        <w:t>:1908.10063</w:t>
      </w:r>
      <w:proofErr w:type="gramEnd"/>
      <w:r w:rsidRPr="00255D12">
        <w:rPr>
          <w:lang w:val="en-US"/>
        </w:rPr>
        <w:t>. 2019.</w:t>
      </w:r>
    </w:p>
    <w:p w14:paraId="284121A7" w14:textId="04682A64" w:rsidR="00BE0C44" w:rsidRPr="00255D12" w:rsidRDefault="00BE0C44" w:rsidP="000924AC">
      <w:pPr>
        <w:pStyle w:val="a0"/>
        <w:rPr>
          <w:lang w:val="en-US"/>
        </w:rPr>
      </w:pPr>
      <w:proofErr w:type="spellStart"/>
      <w:r w:rsidRPr="00255D12">
        <w:rPr>
          <w:lang w:val="en-US"/>
        </w:rPr>
        <w:t>Bollen</w:t>
      </w:r>
      <w:proofErr w:type="spellEnd"/>
      <w:r w:rsidRPr="00255D12">
        <w:rPr>
          <w:lang w:val="en-US"/>
        </w:rPr>
        <w:t xml:space="preserve"> J., Mao H., Zeng X. Twitter Mood Predicts the Stock Market // Journal of Computational Science. 2011. Vol. 2, No 1. P. 1–8.</w:t>
      </w:r>
    </w:p>
    <w:p w14:paraId="65B4C381" w14:textId="579C9F0C" w:rsidR="00BE0C44" w:rsidRPr="00255D12" w:rsidRDefault="000924AC" w:rsidP="000924AC">
      <w:pPr>
        <w:pStyle w:val="a0"/>
        <w:rPr>
          <w:lang w:val="en-US"/>
        </w:rPr>
      </w:pPr>
      <w:r>
        <w:rPr>
          <w:lang w:val="en-US"/>
        </w:rPr>
        <w:t>Brown T.</w:t>
      </w:r>
      <w:r w:rsidR="00BE0C44" w:rsidRPr="00255D12">
        <w:rPr>
          <w:lang w:val="en-US"/>
        </w:rPr>
        <w:t xml:space="preserve">B., Mann B., Ryder N., Subbiah M., Kaplan J., Dhariwal P., Neelakantan A., Shyam P., Sastry G., Askell A., Agarwal S., Herbert-Voss A., Krueger G., Henighan T., Child R., Ramesh A., Ziegler D. M., Wu J., Winter C., Hesse C., Chen M., Sigler E., Litwin M., Gray S., Chess B., Clark J., Berner C., McCandlish S., Radford A., </w:t>
      </w:r>
      <w:proofErr w:type="spellStart"/>
      <w:r w:rsidR="00BE0C44" w:rsidRPr="00255D12">
        <w:rPr>
          <w:lang w:val="en-US"/>
        </w:rPr>
        <w:t>Sutskever</w:t>
      </w:r>
      <w:proofErr w:type="spellEnd"/>
      <w:r w:rsidR="00BE0C44" w:rsidRPr="00255D12">
        <w:rPr>
          <w:lang w:val="en-US"/>
        </w:rPr>
        <w:t xml:space="preserve"> I., Amodei D. Language Models are Few-Shot Learners // Advances in Neural Information Processing Systems. 2020. Vol. 33. P. 1877–1901.</w:t>
      </w:r>
    </w:p>
    <w:p w14:paraId="62BD22C6" w14:textId="7E488EED" w:rsidR="00BE0C44" w:rsidRPr="00255D12" w:rsidRDefault="000924AC" w:rsidP="000924AC">
      <w:pPr>
        <w:pStyle w:val="a0"/>
        <w:rPr>
          <w:lang w:val="en-US"/>
        </w:rPr>
      </w:pPr>
      <w:r>
        <w:rPr>
          <w:lang w:val="en-US"/>
        </w:rPr>
        <w:t>Cohen J.</w:t>
      </w:r>
      <w:r w:rsidR="00BE0C44" w:rsidRPr="00255D12">
        <w:rPr>
          <w:lang w:val="en-US"/>
        </w:rPr>
        <w:t xml:space="preserve">A Coefficient of Agreement for Nominal Scales // Educational and Psychological Measurement. 1960. Vol. 20, No 1. </w:t>
      </w:r>
      <w:r>
        <w:rPr>
          <w:lang w:val="en-US"/>
        </w:rPr>
        <w:t>P.</w:t>
      </w:r>
      <w:r>
        <w:t> </w:t>
      </w:r>
      <w:r w:rsidR="00BE0C44" w:rsidRPr="00255D12">
        <w:rPr>
          <w:lang w:val="en-US"/>
        </w:rPr>
        <w:t>37–46.</w:t>
      </w:r>
    </w:p>
    <w:p w14:paraId="0CEBE9E3" w14:textId="725ED7F9" w:rsidR="00BE0C44" w:rsidRPr="00255D12" w:rsidRDefault="000924AC" w:rsidP="000924AC">
      <w:pPr>
        <w:pStyle w:val="a0"/>
        <w:rPr>
          <w:lang w:val="en-US"/>
        </w:rPr>
      </w:pPr>
      <w:proofErr w:type="spellStart"/>
      <w:r>
        <w:rPr>
          <w:lang w:val="en-US"/>
        </w:rPr>
        <w:t>Dietterich</w:t>
      </w:r>
      <w:proofErr w:type="spellEnd"/>
      <w:r>
        <w:rPr>
          <w:lang w:val="en-US"/>
        </w:rPr>
        <w:t xml:space="preserve"> T.</w:t>
      </w:r>
      <w:r w:rsidR="00BE0C44" w:rsidRPr="00255D12">
        <w:rPr>
          <w:lang w:val="en-US"/>
        </w:rPr>
        <w:t>G. Ensemble Methods in Machine Learning // Multiple Classifier Systems. First International Workshop, MCS 2000, Cagliari, Italy, June 21-23, 2000. Proceedings / J. Kittler, F. Roli (</w:t>
      </w:r>
      <w:proofErr w:type="gramStart"/>
      <w:r w:rsidR="00BE0C44" w:rsidRPr="00255D12">
        <w:rPr>
          <w:lang w:val="en-US"/>
        </w:rPr>
        <w:t>eds</w:t>
      </w:r>
      <w:proofErr w:type="gramEnd"/>
      <w:r w:rsidR="00BE0C44" w:rsidRPr="00255D12">
        <w:rPr>
          <w:lang w:val="en-US"/>
        </w:rPr>
        <w:t>.). Berlin, Heidelberg: Springer Berlin Heidelberg, 2000. P. 1–15.</w:t>
      </w:r>
    </w:p>
    <w:p w14:paraId="517868C7" w14:textId="0BBCF591" w:rsidR="00BE0C44" w:rsidRPr="00255D12" w:rsidRDefault="00BE0C44" w:rsidP="000924AC">
      <w:pPr>
        <w:pStyle w:val="a0"/>
        <w:rPr>
          <w:lang w:val="en-US"/>
        </w:rPr>
      </w:pPr>
      <w:r w:rsidRPr="00255D12">
        <w:rPr>
          <w:lang w:val="en-US"/>
        </w:rPr>
        <w:t xml:space="preserve">Liang P., </w:t>
      </w:r>
      <w:proofErr w:type="spellStart"/>
      <w:r w:rsidRPr="00255D12">
        <w:rPr>
          <w:lang w:val="en-US"/>
        </w:rPr>
        <w:t>Bommasani</w:t>
      </w:r>
      <w:proofErr w:type="spellEnd"/>
      <w:r w:rsidRPr="00255D12">
        <w:rPr>
          <w:lang w:val="en-US"/>
        </w:rPr>
        <w:t xml:space="preserve"> R., Lee T., Tsipras D., Soylu D., Yasunaga M., Zhang Y., Narayanan D., Wu Y., Kumar A., Chen B., Koh P. W., Kapoor S., Narayanan A., </w:t>
      </w:r>
      <w:proofErr w:type="spellStart"/>
      <w:r w:rsidRPr="00255D12">
        <w:rPr>
          <w:lang w:val="en-US"/>
        </w:rPr>
        <w:t>Agrawala</w:t>
      </w:r>
      <w:proofErr w:type="spellEnd"/>
      <w:r w:rsidRPr="00255D12">
        <w:rPr>
          <w:lang w:val="en-US"/>
        </w:rPr>
        <w:t xml:space="preserve"> S., Ribeiro M. T., </w:t>
      </w:r>
      <w:proofErr w:type="spellStart"/>
      <w:r w:rsidRPr="00255D12">
        <w:rPr>
          <w:lang w:val="en-US"/>
        </w:rPr>
        <w:t>Saharia</w:t>
      </w:r>
      <w:proofErr w:type="spellEnd"/>
      <w:r w:rsidRPr="00255D12">
        <w:rPr>
          <w:lang w:val="en-US"/>
        </w:rPr>
        <w:t xml:space="preserve"> C., Zhou Q., Wang H., Zhou Q. et al. Holistic Evaluation of Language Models // </w:t>
      </w:r>
      <w:proofErr w:type="spellStart"/>
      <w:r w:rsidRPr="00255D12">
        <w:rPr>
          <w:lang w:val="en-US"/>
        </w:rPr>
        <w:t>arXiv</w:t>
      </w:r>
      <w:proofErr w:type="spellEnd"/>
      <w:r w:rsidRPr="00255D12">
        <w:rPr>
          <w:lang w:val="en-US"/>
        </w:rPr>
        <w:t xml:space="preserve"> preprint arXiv:2211.09110. 2022.</w:t>
      </w:r>
    </w:p>
    <w:p w14:paraId="135886CB" w14:textId="4ACFD262" w:rsidR="00BE0C44" w:rsidRPr="00255D12" w:rsidRDefault="00BE0C44" w:rsidP="000924AC">
      <w:pPr>
        <w:pStyle w:val="a0"/>
        <w:rPr>
          <w:lang w:val="en-US"/>
        </w:rPr>
      </w:pPr>
      <w:proofErr w:type="spellStart"/>
      <w:r w:rsidRPr="00255D12">
        <w:rPr>
          <w:lang w:val="en-US"/>
        </w:rPr>
        <w:t>Malo</w:t>
      </w:r>
      <w:proofErr w:type="spellEnd"/>
      <w:r w:rsidRPr="00255D12">
        <w:rPr>
          <w:lang w:val="en-US"/>
        </w:rPr>
        <w:t xml:space="preserve"> P., Sinha A., Korhonen P., Wallenius J., Takala P. Good Debt or Bad Debt: Detecting Semantic Orientations in Economic Texts // Journal of the Association for Information Science and Technology. 2014. Vol. 65, No 4. P. 782–796.</w:t>
      </w:r>
    </w:p>
    <w:p w14:paraId="4637CDD2" w14:textId="155EA44C" w:rsidR="00BE0C44" w:rsidRPr="00255D12" w:rsidRDefault="00F94627" w:rsidP="000924AC">
      <w:pPr>
        <w:pStyle w:val="a0"/>
        <w:rPr>
          <w:lang w:val="en-US"/>
        </w:rPr>
      </w:pPr>
      <w:proofErr w:type="spellStart"/>
      <w:r>
        <w:rPr>
          <w:lang w:val="en-US"/>
        </w:rPr>
        <w:t>Zadeh</w:t>
      </w:r>
      <w:proofErr w:type="spellEnd"/>
      <w:r>
        <w:rPr>
          <w:lang w:val="en-US"/>
        </w:rPr>
        <w:t xml:space="preserve"> L.</w:t>
      </w:r>
      <w:r w:rsidR="00BE0C44" w:rsidRPr="00255D12">
        <w:rPr>
          <w:lang w:val="en-US"/>
        </w:rPr>
        <w:t>A. Fuzzy sets // Information and Control. 1965. Vol. 8, No 3. P. 338–353.</w:t>
      </w:r>
    </w:p>
    <w:p w14:paraId="53F46EF2" w14:textId="77777777" w:rsidR="000924AC" w:rsidRDefault="000924AC" w:rsidP="00BE0C44">
      <w:pPr>
        <w:spacing w:after="120"/>
        <w:rPr>
          <w:lang w:val="en-US"/>
        </w:rPr>
        <w:sectPr w:rsidR="000924AC" w:rsidSect="00F06AB0">
          <w:type w:val="continuous"/>
          <w:pgSz w:w="11906" w:h="16838" w:code="9"/>
          <w:pgMar w:top="907" w:right="907" w:bottom="1440" w:left="907" w:header="709" w:footer="709" w:gutter="0"/>
          <w:cols w:num="2" w:space="340"/>
          <w:docGrid w:linePitch="360"/>
        </w:sectPr>
      </w:pPr>
    </w:p>
    <w:p w14:paraId="5C649C49" w14:textId="009E4CC9" w:rsidR="008C64AA" w:rsidRPr="00255D12" w:rsidRDefault="008C64AA" w:rsidP="00BE0C44">
      <w:pPr>
        <w:spacing w:after="120"/>
        <w:rPr>
          <w:lang w:val="en-US"/>
        </w:rPr>
      </w:pPr>
    </w:p>
    <w:sectPr w:rsidR="008C64AA" w:rsidRPr="00255D12" w:rsidSect="000924AC">
      <w:type w:val="continuous"/>
      <w:pgSz w:w="11906" w:h="16838" w:code="9"/>
      <w:pgMar w:top="907" w:right="907" w:bottom="1440" w:left="907"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3A570" w14:textId="77777777" w:rsidR="009F5FF6" w:rsidRDefault="009F5FF6" w:rsidP="00A33822">
      <w:r>
        <w:separator/>
      </w:r>
    </w:p>
  </w:endnote>
  <w:endnote w:type="continuationSeparator" w:id="0">
    <w:p w14:paraId="7D92F43B" w14:textId="77777777" w:rsidR="009F5FF6" w:rsidRDefault="009F5FF6" w:rsidP="00A3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41361" w14:textId="77777777" w:rsidR="009F5FF6" w:rsidRDefault="009F5FF6" w:rsidP="00A33822">
      <w:r>
        <w:separator/>
      </w:r>
    </w:p>
  </w:footnote>
  <w:footnote w:type="continuationSeparator" w:id="0">
    <w:p w14:paraId="403FCCCE" w14:textId="77777777" w:rsidR="009F5FF6" w:rsidRDefault="009F5FF6" w:rsidP="00A33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C80AB5F8"/>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830695"/>
    <w:multiLevelType w:val="hybridMultilevel"/>
    <w:tmpl w:val="637AC436"/>
    <w:lvl w:ilvl="0" w:tplc="0419000F">
      <w:start w:val="1"/>
      <w:numFmt w:val="decimal"/>
      <w:lvlText w:val="%1."/>
      <w:lvlJc w:val="left"/>
      <w:pPr>
        <w:ind w:left="1009" w:hanging="360"/>
      </w:pPr>
      <w:rPr>
        <w:rFonts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9">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2">
    <w:nsid w:val="6DC31A82"/>
    <w:multiLevelType w:val="hybridMultilevel"/>
    <w:tmpl w:val="3D0EAD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4">
    <w:nsid w:val="72951F90"/>
    <w:multiLevelType w:val="hybridMultilevel"/>
    <w:tmpl w:val="149E351E"/>
    <w:lvl w:ilvl="0" w:tplc="446C6AE2">
      <w:start w:val="1"/>
      <w:numFmt w:val="upperRoman"/>
      <w:pStyle w:val="a1"/>
      <w:lvlText w:val="ТАБЛИЦА %1. "/>
      <w:lvlJc w:val="center"/>
      <w:pPr>
        <w:ind w:left="2628"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num w:numId="1">
    <w:abstractNumId w:val="13"/>
  </w:num>
  <w:num w:numId="2">
    <w:abstractNumId w:val="14"/>
  </w:num>
  <w:num w:numId="3">
    <w:abstractNumId w:val="14"/>
  </w:num>
  <w:num w:numId="4">
    <w:abstractNumId w:val="14"/>
  </w:num>
  <w:num w:numId="5">
    <w:abstractNumId w:val="14"/>
  </w:num>
  <w:num w:numId="6">
    <w:abstractNumId w:val="21"/>
  </w:num>
  <w:num w:numId="7">
    <w:abstractNumId w:val="19"/>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1"/>
  </w:num>
  <w:num w:numId="15">
    <w:abstractNumId w:val="19"/>
  </w:num>
  <w:num w:numId="16">
    <w:abstractNumId w:val="17"/>
  </w:num>
  <w:num w:numId="17">
    <w:abstractNumId w:val="11"/>
  </w:num>
  <w:num w:numId="18">
    <w:abstractNumId w:val="10"/>
  </w:num>
  <w:num w:numId="19">
    <w:abstractNumId w:val="12"/>
  </w:num>
  <w:num w:numId="20">
    <w:abstractNumId w:val="2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20"/>
  </w:num>
  <w:num w:numId="33">
    <w:abstractNumId w:val="15"/>
  </w:num>
  <w:num w:numId="34">
    <w:abstractNumId w:val="2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64A99"/>
    <w:rsid w:val="00066BAA"/>
    <w:rsid w:val="000924AC"/>
    <w:rsid w:val="0013123C"/>
    <w:rsid w:val="001A5F16"/>
    <w:rsid w:val="001B0F74"/>
    <w:rsid w:val="00225A79"/>
    <w:rsid w:val="00252F87"/>
    <w:rsid w:val="00255D12"/>
    <w:rsid w:val="002D540B"/>
    <w:rsid w:val="002D766E"/>
    <w:rsid w:val="003378F6"/>
    <w:rsid w:val="0034284A"/>
    <w:rsid w:val="0037125D"/>
    <w:rsid w:val="00373376"/>
    <w:rsid w:val="003915FB"/>
    <w:rsid w:val="003D785D"/>
    <w:rsid w:val="004165FC"/>
    <w:rsid w:val="00420452"/>
    <w:rsid w:val="00424A1C"/>
    <w:rsid w:val="00444DDC"/>
    <w:rsid w:val="0047652D"/>
    <w:rsid w:val="0048059B"/>
    <w:rsid w:val="004B14C2"/>
    <w:rsid w:val="004C40DB"/>
    <w:rsid w:val="004D7E92"/>
    <w:rsid w:val="004E1FA0"/>
    <w:rsid w:val="004E4FD5"/>
    <w:rsid w:val="004F7E2B"/>
    <w:rsid w:val="00502710"/>
    <w:rsid w:val="00535924"/>
    <w:rsid w:val="005630E7"/>
    <w:rsid w:val="005921F1"/>
    <w:rsid w:val="005963D0"/>
    <w:rsid w:val="005A2CFD"/>
    <w:rsid w:val="005A5257"/>
    <w:rsid w:val="005B437A"/>
    <w:rsid w:val="00626534"/>
    <w:rsid w:val="0066636D"/>
    <w:rsid w:val="00693442"/>
    <w:rsid w:val="006978B6"/>
    <w:rsid w:val="006D605D"/>
    <w:rsid w:val="006E051F"/>
    <w:rsid w:val="0070003E"/>
    <w:rsid w:val="00711520"/>
    <w:rsid w:val="0071573A"/>
    <w:rsid w:val="00716CAC"/>
    <w:rsid w:val="007316B2"/>
    <w:rsid w:val="00791CA2"/>
    <w:rsid w:val="007B6A69"/>
    <w:rsid w:val="00833CAC"/>
    <w:rsid w:val="00871509"/>
    <w:rsid w:val="0087270B"/>
    <w:rsid w:val="008834FE"/>
    <w:rsid w:val="008928BF"/>
    <w:rsid w:val="008B0126"/>
    <w:rsid w:val="008C64AA"/>
    <w:rsid w:val="008D4425"/>
    <w:rsid w:val="00935EC9"/>
    <w:rsid w:val="00940220"/>
    <w:rsid w:val="009516B7"/>
    <w:rsid w:val="009739AF"/>
    <w:rsid w:val="00993DAB"/>
    <w:rsid w:val="009D16DE"/>
    <w:rsid w:val="009F446D"/>
    <w:rsid w:val="009F5FF6"/>
    <w:rsid w:val="00A1740A"/>
    <w:rsid w:val="00A25034"/>
    <w:rsid w:val="00A33822"/>
    <w:rsid w:val="00AC08AA"/>
    <w:rsid w:val="00AE6C42"/>
    <w:rsid w:val="00AF069A"/>
    <w:rsid w:val="00B374A5"/>
    <w:rsid w:val="00B77B07"/>
    <w:rsid w:val="00BD2BC3"/>
    <w:rsid w:val="00BE07F2"/>
    <w:rsid w:val="00BE0C44"/>
    <w:rsid w:val="00BE17CF"/>
    <w:rsid w:val="00BE6E46"/>
    <w:rsid w:val="00C26294"/>
    <w:rsid w:val="00C47338"/>
    <w:rsid w:val="00C67FD4"/>
    <w:rsid w:val="00C7052D"/>
    <w:rsid w:val="00C903D0"/>
    <w:rsid w:val="00C9188D"/>
    <w:rsid w:val="00CC6D5A"/>
    <w:rsid w:val="00D80951"/>
    <w:rsid w:val="00DA480C"/>
    <w:rsid w:val="00E152C5"/>
    <w:rsid w:val="00E710F3"/>
    <w:rsid w:val="00EC44A2"/>
    <w:rsid w:val="00F05068"/>
    <w:rsid w:val="00F06AB0"/>
    <w:rsid w:val="00F074EC"/>
    <w:rsid w:val="00F20F9D"/>
    <w:rsid w:val="00F94627"/>
    <w:rsid w:val="00FA2E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66636D"/>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List Paragraph"/>
    <w:basedOn w:val="a2"/>
    <w:uiPriority w:val="34"/>
    <w:rsid w:val="004E1FA0"/>
    <w:pPr>
      <w:ind w:left="720"/>
      <w:contextualSpacing/>
    </w:pPr>
  </w:style>
  <w:style w:type="paragraph" w:styleId="af5">
    <w:name w:val="List Bullet"/>
    <w:basedOn w:val="a2"/>
    <w:uiPriority w:val="99"/>
    <w:unhideWhenUsed/>
    <w:rsid w:val="00F06AB0"/>
    <w:pPr>
      <w:tabs>
        <w:tab w:val="num" w:pos="360"/>
      </w:tabs>
      <w:suppressAutoHyphens w:val="0"/>
      <w:spacing w:line="360" w:lineRule="auto"/>
      <w:ind w:left="360" w:hanging="360"/>
      <w:contextualSpacing/>
      <w:jc w:val="both"/>
    </w:pPr>
    <w:rPr>
      <w:rFonts w:eastAsiaTheme="minorEastAsia" w:cstheme="minorBidi"/>
      <w:sz w:val="24"/>
      <w:szCs w:val="22"/>
      <w:lang w:val="en-US"/>
    </w:rPr>
  </w:style>
  <w:style w:type="paragraph" w:styleId="af6">
    <w:name w:val="header"/>
    <w:basedOn w:val="a2"/>
    <w:link w:val="af7"/>
    <w:unhideWhenUsed/>
    <w:rsid w:val="00A33822"/>
    <w:pPr>
      <w:tabs>
        <w:tab w:val="center" w:pos="4677"/>
        <w:tab w:val="right" w:pos="9355"/>
      </w:tabs>
    </w:pPr>
  </w:style>
  <w:style w:type="character" w:customStyle="1" w:styleId="af7">
    <w:name w:val="Верхний колонтитул Знак"/>
    <w:basedOn w:val="a4"/>
    <w:link w:val="af6"/>
    <w:rsid w:val="00A33822"/>
    <w:rPr>
      <w:rFonts w:ascii="Times New Roman" w:hAnsi="Times New Roman" w:cs="Times New Roman"/>
      <w:sz w:val="20"/>
      <w:szCs w:val="20"/>
      <w:lang w:eastAsia="en-US"/>
    </w:rPr>
  </w:style>
  <w:style w:type="paragraph" w:styleId="af8">
    <w:name w:val="footer"/>
    <w:basedOn w:val="a2"/>
    <w:link w:val="af9"/>
    <w:unhideWhenUsed/>
    <w:rsid w:val="00A33822"/>
    <w:pPr>
      <w:tabs>
        <w:tab w:val="center" w:pos="4677"/>
        <w:tab w:val="right" w:pos="9355"/>
      </w:tabs>
    </w:pPr>
  </w:style>
  <w:style w:type="character" w:customStyle="1" w:styleId="af9">
    <w:name w:val="Нижний колонтитул Знак"/>
    <w:basedOn w:val="a4"/>
    <w:link w:val="af8"/>
    <w:rsid w:val="00A33822"/>
    <w:rPr>
      <w:rFonts w:ascii="Times New Roman" w:hAnsi="Times New Roman" w:cs="Times New Roman"/>
      <w:sz w:val="20"/>
      <w:szCs w:val="20"/>
      <w:lang w:eastAsia="en-US"/>
    </w:rPr>
  </w:style>
  <w:style w:type="paragraph" w:styleId="afa">
    <w:name w:val="Revision"/>
    <w:hidden/>
    <w:uiPriority w:val="99"/>
    <w:semiHidden/>
    <w:rsid w:val="00A1740A"/>
    <w:pPr>
      <w:spacing w:after="0" w:line="240" w:lineRule="auto"/>
    </w:pPr>
    <w:rPr>
      <w:rFonts w:ascii="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66636D"/>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List Paragraph"/>
    <w:basedOn w:val="a2"/>
    <w:uiPriority w:val="34"/>
    <w:rsid w:val="004E1FA0"/>
    <w:pPr>
      <w:ind w:left="720"/>
      <w:contextualSpacing/>
    </w:pPr>
  </w:style>
  <w:style w:type="paragraph" w:styleId="af5">
    <w:name w:val="List Bullet"/>
    <w:basedOn w:val="a2"/>
    <w:uiPriority w:val="99"/>
    <w:unhideWhenUsed/>
    <w:rsid w:val="00F06AB0"/>
    <w:pPr>
      <w:tabs>
        <w:tab w:val="num" w:pos="360"/>
      </w:tabs>
      <w:suppressAutoHyphens w:val="0"/>
      <w:spacing w:line="360" w:lineRule="auto"/>
      <w:ind w:left="360" w:hanging="360"/>
      <w:contextualSpacing/>
      <w:jc w:val="both"/>
    </w:pPr>
    <w:rPr>
      <w:rFonts w:eastAsiaTheme="minorEastAsia" w:cstheme="minorBidi"/>
      <w:sz w:val="24"/>
      <w:szCs w:val="22"/>
      <w:lang w:val="en-US"/>
    </w:rPr>
  </w:style>
  <w:style w:type="paragraph" w:styleId="af6">
    <w:name w:val="header"/>
    <w:basedOn w:val="a2"/>
    <w:link w:val="af7"/>
    <w:unhideWhenUsed/>
    <w:rsid w:val="00A33822"/>
    <w:pPr>
      <w:tabs>
        <w:tab w:val="center" w:pos="4677"/>
        <w:tab w:val="right" w:pos="9355"/>
      </w:tabs>
    </w:pPr>
  </w:style>
  <w:style w:type="character" w:customStyle="1" w:styleId="af7">
    <w:name w:val="Верхний колонтитул Знак"/>
    <w:basedOn w:val="a4"/>
    <w:link w:val="af6"/>
    <w:rsid w:val="00A33822"/>
    <w:rPr>
      <w:rFonts w:ascii="Times New Roman" w:hAnsi="Times New Roman" w:cs="Times New Roman"/>
      <w:sz w:val="20"/>
      <w:szCs w:val="20"/>
      <w:lang w:eastAsia="en-US"/>
    </w:rPr>
  </w:style>
  <w:style w:type="paragraph" w:styleId="af8">
    <w:name w:val="footer"/>
    <w:basedOn w:val="a2"/>
    <w:link w:val="af9"/>
    <w:unhideWhenUsed/>
    <w:rsid w:val="00A33822"/>
    <w:pPr>
      <w:tabs>
        <w:tab w:val="center" w:pos="4677"/>
        <w:tab w:val="right" w:pos="9355"/>
      </w:tabs>
    </w:pPr>
  </w:style>
  <w:style w:type="character" w:customStyle="1" w:styleId="af9">
    <w:name w:val="Нижний колонтитул Знак"/>
    <w:basedOn w:val="a4"/>
    <w:link w:val="af8"/>
    <w:rsid w:val="00A33822"/>
    <w:rPr>
      <w:rFonts w:ascii="Times New Roman" w:hAnsi="Times New Roman" w:cs="Times New Roman"/>
      <w:sz w:val="20"/>
      <w:szCs w:val="20"/>
      <w:lang w:eastAsia="en-US"/>
    </w:rPr>
  </w:style>
  <w:style w:type="paragraph" w:styleId="afa">
    <w:name w:val="Revision"/>
    <w:hidden/>
    <w:uiPriority w:val="99"/>
    <w:semiHidden/>
    <w:rsid w:val="00A1740A"/>
    <w:pPr>
      <w:spacing w:after="0" w:line="240" w:lineRule="auto"/>
    </w:pPr>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2038</Words>
  <Characters>11618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cp:lastPrinted>2026-03-23T10:09:00Z</cp:lastPrinted>
  <dcterms:created xsi:type="dcterms:W3CDTF">2026-04-06T09:30:00Z</dcterms:created>
  <dcterms:modified xsi:type="dcterms:W3CDTF">2026-04-06T09:30:00Z</dcterms:modified>
</cp:coreProperties>
</file>