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1" w:rsidRDefault="000B58D4" w:rsidP="003D6770">
      <w:pPr>
        <w:pStyle w:val="a7"/>
      </w:pPr>
      <w:r w:rsidRPr="000B58D4">
        <w:t xml:space="preserve">Применение нечеткой логики для </w:t>
      </w:r>
      <w:proofErr w:type="spellStart"/>
      <w:r w:rsidRPr="000B58D4">
        <w:t>приоритизации</w:t>
      </w:r>
      <w:proofErr w:type="spellEnd"/>
      <w:r w:rsidRPr="000B58D4">
        <w:t xml:space="preserve"> </w:t>
      </w:r>
      <w:r w:rsidRPr="003D6770">
        <w:t>рисков</w:t>
      </w:r>
      <w:r w:rsidRPr="000B58D4">
        <w:t>, связанных с человеческим фактором</w:t>
      </w:r>
    </w:p>
    <w:p w:rsidR="00D80951" w:rsidRPr="00630DCF" w:rsidRDefault="00630DCF" w:rsidP="009F446D">
      <w:pPr>
        <w:pStyle w:val="aa"/>
      </w:pPr>
      <w:r>
        <w:t>Д</w:t>
      </w:r>
      <w:r w:rsidRPr="00630DCF">
        <w:t>.</w:t>
      </w:r>
      <w:r>
        <w:t xml:space="preserve"> М</w:t>
      </w:r>
      <w:r w:rsidRPr="00630DCF">
        <w:t>.</w:t>
      </w:r>
      <w:r>
        <w:t xml:space="preserve"> </w:t>
      </w:r>
      <w:proofErr w:type="spellStart"/>
      <w:r>
        <w:t>Курпаченко</w:t>
      </w:r>
      <w:proofErr w:type="spellEnd"/>
    </w:p>
    <w:p w:rsidR="0013123C" w:rsidRPr="00D80951" w:rsidRDefault="00D85EF4" w:rsidP="003D6770">
      <w:pPr>
        <w:pStyle w:val="ab"/>
      </w:pPr>
      <w:r>
        <w:t xml:space="preserve">Санкт-Петербургский </w:t>
      </w:r>
      <w:r w:rsidRPr="003D6770">
        <w:t>государственный</w:t>
      </w:r>
      <w:r>
        <w:t xml:space="preserve"> электротехнический университет </w:t>
      </w:r>
      <w:r w:rsidR="003D6770">
        <w:br/>
      </w:r>
      <w:r>
        <w:t>«ЛЭТИ»</w:t>
      </w:r>
      <w:r w:rsidR="003D6770">
        <w:t xml:space="preserve"> им. В.И. Ульянова (Ленина)</w:t>
      </w:r>
    </w:p>
    <w:p w:rsidR="00D80951" w:rsidRPr="0013123C" w:rsidRDefault="00D85EF4" w:rsidP="003D6770">
      <w:pPr>
        <w:pStyle w:val="ac"/>
      </w:pPr>
      <w:proofErr w:type="spellStart"/>
      <w:r>
        <w:t>dkurpachenko</w:t>
      </w:r>
      <w:proofErr w:type="spellEnd"/>
      <w:r w:rsidRPr="00084C1B">
        <w:rPr>
          <w:lang w:val="ru-RU"/>
        </w:rPr>
        <w:t>@</w:t>
      </w:r>
      <w:proofErr w:type="spellStart"/>
      <w:r>
        <w:t>gmail</w:t>
      </w:r>
      <w:proofErr w:type="spellEnd"/>
      <w:r w:rsidRPr="00084C1B">
        <w:rPr>
          <w:lang w:val="ru-RU"/>
        </w:rPr>
        <w:t>.</w:t>
      </w:r>
      <w:r>
        <w:t>com</w:t>
      </w:r>
    </w:p>
    <w:p w:rsidR="0013123C" w:rsidRDefault="0013123C" w:rsidP="009F446D">
      <w:pPr>
        <w:jc w:val="center"/>
        <w:sectPr w:rsidR="0013123C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630DCF" w:rsidRPr="00630DCF">
        <w:rPr>
          <w:rFonts w:eastAsia="MS Mincho"/>
        </w:rPr>
        <w:t xml:space="preserve">Разработана нечеткая модель интегральной оценки потенциальной уязвимости сотрудников организации. На основе анализа научной литературы выделены семь критериев, отражающих профессиональный статус, информационную открытость и личностно-поведенческие характеристики персонала. С использованием алгоритма нечеткого вывода </w:t>
      </w:r>
      <w:proofErr w:type="spellStart"/>
      <w:r w:rsidR="00630DCF" w:rsidRPr="00630DCF">
        <w:rPr>
          <w:rFonts w:eastAsia="MS Mincho"/>
        </w:rPr>
        <w:t>Мамдани</w:t>
      </w:r>
      <w:proofErr w:type="spellEnd"/>
      <w:r w:rsidR="00630DCF" w:rsidRPr="00630DCF">
        <w:rPr>
          <w:rFonts w:eastAsia="MS Mincho"/>
        </w:rPr>
        <w:t xml:space="preserve"> построена система лингвистических переменных, функций принадлежности и базы правил, формализующая логику экспертного оценивания. Приведен пример работы модели для двух гипотетических сотрудников, демонстрирующий ее работоспособность.</w:t>
      </w:r>
    </w:p>
    <w:p w:rsidR="0013123C" w:rsidRPr="00630DCF" w:rsidRDefault="0013123C" w:rsidP="0013123C">
      <w:pPr>
        <w:pStyle w:val="ae"/>
      </w:pPr>
      <w:r w:rsidRPr="0013123C">
        <w:t xml:space="preserve">Ключевые слова: </w:t>
      </w:r>
      <w:r w:rsidR="00630DCF">
        <w:t>нечеткая логика</w:t>
      </w:r>
      <w:r w:rsidR="00630DCF" w:rsidRPr="00630DCF">
        <w:t>;</w:t>
      </w:r>
      <w:r w:rsidR="00630DCF">
        <w:t xml:space="preserve"> человеческий фактор; оценка рисков; информационная безопасность; поддержка принятия решений; алгоритм </w:t>
      </w:r>
      <w:proofErr w:type="spellStart"/>
      <w:r w:rsidR="00630DCF">
        <w:t>Мамдани</w:t>
      </w:r>
      <w:proofErr w:type="spellEnd"/>
      <w:r w:rsidR="00630DCF" w:rsidRPr="00630DCF">
        <w:t>.</w:t>
      </w:r>
    </w:p>
    <w:p w:rsidR="0013123C" w:rsidRDefault="00630DCF" w:rsidP="0013123C">
      <w:pPr>
        <w:pStyle w:val="1"/>
      </w:pPr>
      <w:r>
        <w:t>Введение</w:t>
      </w:r>
    </w:p>
    <w:p w:rsidR="00630DCF" w:rsidRDefault="00630DCF" w:rsidP="009F446D">
      <w:pPr>
        <w:pStyle w:val="a3"/>
      </w:pPr>
      <w:r w:rsidRPr="00630DCF">
        <w:t>Проблема человеческого фактора остаётся одной из ключевых в обеспечении информационной безопасности организаций. В литературе часто отмечается, что сотрудники зачастую являются самым слабым звеном в защите, а их ошибки могут привести к серьёзнейшим инцидентам [1]. Это подтверждается и статистическими исследованиями [2]. В то же время научно подтверждается, что возможно выявить потенциальные риски ещё до их реализации [3], для этого активно используются методы социотехнического тестирования и сбор информации из открытых источников [4]. В дальнейшем полученные данные позволяют укрепить защищённость организации.</w:t>
      </w:r>
    </w:p>
    <w:p w:rsidR="00630DCF" w:rsidRDefault="00630DCF" w:rsidP="009F446D">
      <w:pPr>
        <w:pStyle w:val="a3"/>
      </w:pPr>
      <w:r w:rsidRPr="00630DCF">
        <w:t xml:space="preserve">Для формализации процесса оценки рисков, связанных с </w:t>
      </w:r>
      <w:r w:rsidR="0023111A">
        <w:t>человеческим</w:t>
      </w:r>
      <w:r w:rsidRPr="00630DCF">
        <w:t xml:space="preserve"> фактором. является целесообразным использовать аппарат нечёткой логики. Данный подход уже зарекомендовал себя, как полезный при работе с оценкой поведения сотрудников [5]. Кроме работы с оценкой вероятности утечки информации на основе данных сотрудников, нечёткую логику можно использовать и для оценки подверженности сотрудников конкретным видам </w:t>
      </w:r>
      <w:proofErr w:type="spellStart"/>
      <w:r w:rsidR="0043623E">
        <w:t>фишинга</w:t>
      </w:r>
      <w:proofErr w:type="spellEnd"/>
      <w:r w:rsidRPr="00630DCF">
        <w:t xml:space="preserve"> [1], что можно рассматривать как наиболее близкое к данному докладу исследование.</w:t>
      </w:r>
      <w:r>
        <w:t xml:space="preserve"> </w:t>
      </w:r>
    </w:p>
    <w:p w:rsidR="009F446D" w:rsidRDefault="00630DCF" w:rsidP="00630DCF">
      <w:pPr>
        <w:pStyle w:val="a3"/>
      </w:pPr>
      <w:r w:rsidRPr="00630DCF">
        <w:t xml:space="preserve">Между тем, существующие работы либо опираются на статичный набор критериев [1], либо используют сложные для интерпретации методы машинного обучения [3]. В данном докладе развиваются идеи из исследования [1] для интеграции их в процесс сбора информации о сотрудниках. Целью работы является разработка нечеткой модели для интегральной оценки потенциальной уязвимости сотрудника, которая могла </w:t>
      </w:r>
      <w:r w:rsidRPr="00630DCF">
        <w:lastRenderedPageBreak/>
        <w:t>бы служить инструментом поддержки принятия решений для специалистов по безопасности.</w:t>
      </w:r>
    </w:p>
    <w:p w:rsidR="00630DCF" w:rsidRDefault="00630DCF" w:rsidP="00630DCF">
      <w:pPr>
        <w:pStyle w:val="1"/>
      </w:pPr>
      <w:r w:rsidRPr="00630DCF">
        <w:t>Исходные данные и система оценок</w:t>
      </w:r>
    </w:p>
    <w:p w:rsidR="00630DCF" w:rsidRDefault="00630DCF" w:rsidP="00630DCF">
      <w:pPr>
        <w:pStyle w:val="a3"/>
      </w:pPr>
      <w:r w:rsidRPr="00630DCF">
        <w:t>Для разработки модели оценки потенциальной уязвимости сотрудников необходима система критериев, отражающих различные аспекты, влияющие на итоговый показатель. При выборе критериев в данном докладе учитывались 2 аспекта: доступность (возможность сбора данных для оценки) и теоретическая обоснованность использования критерия для оценки рисков. Все критерии предлагается разделить на три группы, характеризующие профессиональный статус сотрудника, его информационную открытость и личностно-поведенческие характеристики. Для каждого критерия вводится лингвистическая переменная с соответствующим терм-множеством, что позволяет перейти от качественных описаний к формализованным оценкам, пригодным для дальнейшей обработки методами нечеткой логики.</w:t>
      </w:r>
      <w:r>
        <w:t xml:space="preserve"> </w:t>
      </w:r>
    </w:p>
    <w:p w:rsidR="009F446D" w:rsidRDefault="00630DCF" w:rsidP="00630DCF">
      <w:pPr>
        <w:pStyle w:val="2"/>
      </w:pPr>
      <w:r w:rsidRPr="00630DCF">
        <w:t>Профессионально-должностные критерии</w:t>
      </w:r>
    </w:p>
    <w:p w:rsidR="00502710" w:rsidRPr="008928BF" w:rsidRDefault="00630DCF" w:rsidP="00502710">
      <w:pPr>
        <w:pStyle w:val="a3"/>
      </w:pPr>
      <w:r w:rsidRPr="003D6770">
        <w:t>Критерий 1. Критичность должности / уровень доступа (K</w:t>
      </w:r>
      <w:r w:rsidRPr="003D6770">
        <w:rPr>
          <w:rFonts w:ascii="Cambria Math" w:hAnsi="Cambria Math" w:cs="Cambria Math"/>
        </w:rPr>
        <w:t>₁</w:t>
      </w:r>
      <w:r w:rsidRPr="003D6770">
        <w:t>). Критерий отражает значимость сотрудника для ключевых бизнес-процессов организации и объём его привилегий</w:t>
      </w:r>
      <w:r w:rsidRPr="00630DCF">
        <w:t xml:space="preserve"> в информационном пространстве компании. Очевидна связь между уровнем доступа сотрудника и объёмом потенциальных последствий его действий для системы. Лингвистическая переменная «Критичность» задается терм-множеством {Низкая, Средняя, Высокая}. Низкий уровень соответствует рядовым исполнителям без доступа к конфиденциальной информации, высокий — руководителям подразделений и сотрудникам, имеющим прямые доступы к финансовым, технологическим или управляющим системам.</w:t>
      </w:r>
      <w:r w:rsidR="00502710">
        <w:t xml:space="preserve"> </w:t>
      </w:r>
    </w:p>
    <w:p w:rsidR="00630DCF" w:rsidRDefault="00630DCF" w:rsidP="00630DCF">
      <w:pPr>
        <w:pStyle w:val="2"/>
      </w:pPr>
      <w:r w:rsidRPr="00630DCF">
        <w:t>Информационно-цифровые критерии</w:t>
      </w:r>
    </w:p>
    <w:p w:rsidR="00630DCF" w:rsidRDefault="00630DCF" w:rsidP="00630DCF">
      <w:pPr>
        <w:pStyle w:val="a3"/>
      </w:pPr>
      <w:r>
        <w:t>Критерий 2. Доступность публичной информации (K</w:t>
      </w:r>
      <w:r w:rsidRPr="003D6770">
        <w:rPr>
          <w:rFonts w:ascii="Cambria Math" w:hAnsi="Cambria Math" w:cs="Cambria Math"/>
        </w:rPr>
        <w:t>₂</w:t>
      </w:r>
      <w:r w:rsidRPr="003D6770">
        <w:t>).</w:t>
      </w:r>
      <w:r>
        <w:t xml:space="preserve"> Критерий характеризует объём и глубину сведений о сотруднике, доступных в открытых источниках. Переменная «Информационная открытость» принимает значения {Низкая, Средняя, Высокая}. Низкий уровень соответствует наличию лишь минимальных сведений (имя, должность) на официальном сайте организации, высокий — наличию развернутых профилей в нескольких социальных сетях, публикаций, интервью, а также фактов утечки учетных данных.</w:t>
      </w:r>
    </w:p>
    <w:p w:rsidR="00630DCF" w:rsidRDefault="00630DCF" w:rsidP="00630DCF">
      <w:pPr>
        <w:pStyle w:val="a3"/>
      </w:pPr>
      <w:r>
        <w:t xml:space="preserve">Критерий 3. Внешняя профессиональная активность </w:t>
      </w:r>
      <w:r w:rsidRPr="003D6770">
        <w:t>(K</w:t>
      </w:r>
      <w:r w:rsidRPr="003D6770">
        <w:rPr>
          <w:rFonts w:ascii="Cambria Math" w:hAnsi="Cambria Math" w:cs="Cambria Math"/>
        </w:rPr>
        <w:t>₃</w:t>
      </w:r>
      <w:r w:rsidRPr="003D6770">
        <w:t>).</w:t>
      </w:r>
      <w:r>
        <w:t xml:space="preserve"> Критерий отражает причастность сотрудника к </w:t>
      </w:r>
      <w:r>
        <w:lastRenderedPageBreak/>
        <w:t xml:space="preserve">профессиональному сообществу – конференции, ведение блогов, участие в круглых столах… Повышенная активность создаёт дополнительные сценарии взаимодействия с человеком. Лингвистическая переменная «Активность» имеет термы {Низкая, Средняя, Высокая}. </w:t>
      </w:r>
    </w:p>
    <w:p w:rsidR="00630DCF" w:rsidRDefault="00630DCF" w:rsidP="00630DCF">
      <w:pPr>
        <w:pStyle w:val="2"/>
      </w:pPr>
      <w:r w:rsidRPr="00630DCF">
        <w:t>Личностно-поведенческие критерии</w:t>
      </w:r>
    </w:p>
    <w:p w:rsidR="00630DCF" w:rsidRPr="003D6770" w:rsidRDefault="00630DCF" w:rsidP="003D6770">
      <w:pPr>
        <w:pStyle w:val="a3"/>
      </w:pPr>
      <w:r w:rsidRPr="003D6770">
        <w:t>Критерий 4. Отношение к работодателю (K</w:t>
      </w:r>
      <w:r w:rsidRPr="003D6770">
        <w:rPr>
          <w:rFonts w:ascii="Cambria Math" w:hAnsi="Cambria Math" w:cs="Cambria Math"/>
        </w:rPr>
        <w:t>₄</w:t>
      </w:r>
      <w:r w:rsidRPr="003D6770">
        <w:t>). Критерий учитывает отношение сотрудника к организации и руководительскому составу. Негативное отношение воспринимается, как повышенная вероятность преднамеренных и непреднамеренных деструктивных действий. Переменная «Лояльность» принимает значения {Негативная, Нейтральная, Позитивная}. Оценка может производиться на основе данных внутренних опросов, анализа текучести кадров в подразделении, а также (с соблюдением этических норм) на основе публичных высказываний сотрудника.</w:t>
      </w:r>
    </w:p>
    <w:p w:rsidR="00630DCF" w:rsidRDefault="00630DCF" w:rsidP="00630DCF">
      <w:pPr>
        <w:pStyle w:val="a3"/>
      </w:pPr>
      <w:r w:rsidRPr="003D6770">
        <w:t>Критерий 5. Социально-экономическое положение (K</w:t>
      </w:r>
      <w:r w:rsidRPr="003D6770">
        <w:rPr>
          <w:rFonts w:ascii="Cambria Math" w:hAnsi="Cambria Math" w:cs="Cambria Math"/>
        </w:rPr>
        <w:t>₅</w:t>
      </w:r>
      <w:r w:rsidRPr="003D6770">
        <w:t>). Критерий основывается на факторах, характеризующих</w:t>
      </w:r>
      <w:r>
        <w:t xml:space="preserve"> социально-экономическую уязвимость человека. Финансовые трудности и социальные проблемы могут повышать склонность человека к риску или делать его более податливым к внешнему влиянию. Лингвистическая переменная «Социальная стабильность» задается термами {Стабильное, Нестабильное, Критическое}. В рамках данной работы этот критерий рассматривается исключительно как теоретически значимый фактор; его практическое измерение требует соблюдения соответствующих правовых и этических норм.</w:t>
      </w:r>
    </w:p>
    <w:p w:rsidR="00630DCF" w:rsidRPr="003D6770" w:rsidRDefault="00630DCF" w:rsidP="003D6770">
      <w:pPr>
        <w:pStyle w:val="a3"/>
      </w:pPr>
      <w:r w:rsidRPr="003D6770">
        <w:t>Критерий 6. Склонность к риску / психологические особенности (K</w:t>
      </w:r>
      <w:r w:rsidRPr="003D6770">
        <w:rPr>
          <w:rFonts w:ascii="Cambria Math" w:hAnsi="Cambria Math" w:cs="Cambria Math"/>
        </w:rPr>
        <w:t>₆</w:t>
      </w:r>
      <w:r w:rsidRPr="003D6770">
        <w:t>). Критерий характеризует личностные черты человека, влияющие на восприимчивость к методам социальной инженерии. Переменная «Психологический профиль» принимает значения {Низкая, Средняя, Высокая} склонность к риску/доверчивость.</w:t>
      </w:r>
    </w:p>
    <w:p w:rsidR="00630DCF" w:rsidRDefault="00630DCF" w:rsidP="003D6770">
      <w:pPr>
        <w:pStyle w:val="a3"/>
      </w:pPr>
      <w:r w:rsidRPr="003D6770">
        <w:t>Критерий 7. Цифровая грамотность (K</w:t>
      </w:r>
      <w:r w:rsidRPr="003D6770">
        <w:rPr>
          <w:rFonts w:ascii="Cambria Math" w:hAnsi="Cambria Math" w:cs="Cambria Math"/>
        </w:rPr>
        <w:t>₇</w:t>
      </w:r>
      <w:r w:rsidRPr="003D6770">
        <w:t>). Критерий привязан к уровню понимания сотрудником</w:t>
      </w:r>
      <w:r>
        <w:t xml:space="preserve"> принципов </w:t>
      </w:r>
      <w:proofErr w:type="spellStart"/>
      <w:r>
        <w:t>кибербезопаности</w:t>
      </w:r>
      <w:proofErr w:type="spellEnd"/>
      <w:r>
        <w:t xml:space="preserve">. Данный критерий является обратным по отношению к риску: чем выше грамотность, тем ниже потенциальная уязвимость. Переменная «Осведомленность» имеет термы {Низкая, Средняя, Высокая}. Оценка может производиться на основе результатов прохождения тренингов, тестирований на </w:t>
      </w:r>
      <w:proofErr w:type="spellStart"/>
      <w:r>
        <w:t>фишинг</w:t>
      </w:r>
      <w:proofErr w:type="spellEnd"/>
      <w:r>
        <w:t>, данных о нарушениях политик безопасности.</w:t>
      </w:r>
    </w:p>
    <w:p w:rsidR="00630DCF" w:rsidRPr="003D6770" w:rsidRDefault="00630DCF" w:rsidP="003D6770">
      <w:pPr>
        <w:pStyle w:val="a3"/>
      </w:pPr>
      <w:r w:rsidRPr="003D6770">
        <w:t>Таким образом, предлагаемая система включает семь критериев, охватывающих три ключевых аспекта: профессиональный статус (K</w:t>
      </w:r>
      <w:r w:rsidRPr="003D6770">
        <w:rPr>
          <w:rFonts w:ascii="Cambria Math" w:hAnsi="Cambria Math" w:cs="Cambria Math"/>
        </w:rPr>
        <w:t>₁</w:t>
      </w:r>
      <w:r w:rsidRPr="003D6770">
        <w:t>), информационную открытость (K</w:t>
      </w:r>
      <w:r w:rsidRPr="003D6770">
        <w:rPr>
          <w:rFonts w:ascii="Cambria Math" w:hAnsi="Cambria Math" w:cs="Cambria Math"/>
        </w:rPr>
        <w:t>₂</w:t>
      </w:r>
      <w:r w:rsidRPr="003D6770">
        <w:t>, K</w:t>
      </w:r>
      <w:r w:rsidRPr="003D6770">
        <w:rPr>
          <w:rFonts w:ascii="Cambria Math" w:hAnsi="Cambria Math" w:cs="Cambria Math"/>
        </w:rPr>
        <w:t>₃</w:t>
      </w:r>
      <w:r w:rsidRPr="003D6770">
        <w:t>) и личностно-поведенческие характеристики (K</w:t>
      </w:r>
      <w:r w:rsidRPr="003D6770">
        <w:rPr>
          <w:rFonts w:ascii="Cambria Math" w:hAnsi="Cambria Math" w:cs="Cambria Math"/>
        </w:rPr>
        <w:t>₄</w:t>
      </w:r>
      <w:r w:rsidRPr="003D6770">
        <w:t>, K</w:t>
      </w:r>
      <w:r w:rsidRPr="003D6770">
        <w:rPr>
          <w:rFonts w:ascii="Cambria Math" w:hAnsi="Cambria Math" w:cs="Cambria Math"/>
        </w:rPr>
        <w:t>₅</w:t>
      </w:r>
      <w:r w:rsidRPr="003D6770">
        <w:t>, K</w:t>
      </w:r>
      <w:r w:rsidRPr="003D6770">
        <w:rPr>
          <w:rFonts w:ascii="Cambria Math" w:hAnsi="Cambria Math" w:cs="Cambria Math"/>
        </w:rPr>
        <w:t>₆</w:t>
      </w:r>
      <w:r w:rsidRPr="003D6770">
        <w:t>, K</w:t>
      </w:r>
      <w:r w:rsidRPr="003D6770">
        <w:rPr>
          <w:rFonts w:ascii="Cambria Math" w:hAnsi="Cambria Math" w:cs="Cambria Math"/>
        </w:rPr>
        <w:t>₇</w:t>
      </w:r>
      <w:r w:rsidRPr="003D6770">
        <w:t>). Совокупность перечисленных критериев образует многомерное пространство признаков, на основе которого в дальнейшем будет построена система нечеткого вывода для интегральной оценки потенциальной уязвимости сотрудника.</w:t>
      </w:r>
    </w:p>
    <w:p w:rsidR="00630DCF" w:rsidRDefault="00630DCF" w:rsidP="00630DCF">
      <w:pPr>
        <w:pStyle w:val="1"/>
      </w:pPr>
      <w:r w:rsidRPr="00630DCF">
        <w:lastRenderedPageBreak/>
        <w:t>Построение нечеткой модели оценки</w:t>
      </w:r>
    </w:p>
    <w:p w:rsidR="00630DCF" w:rsidRDefault="00630DCF" w:rsidP="00630DCF">
      <w:pPr>
        <w:pStyle w:val="a3"/>
      </w:pPr>
      <w:r w:rsidRPr="00630DCF">
        <w:t xml:space="preserve">Для решения задачи исследования наиболее подходящим представляется использование алгоритма нечёткого вывода </w:t>
      </w:r>
      <w:proofErr w:type="spellStart"/>
      <w:r w:rsidRPr="00630DCF">
        <w:t>Мамдани</w:t>
      </w:r>
      <w:proofErr w:type="spellEnd"/>
      <w:r w:rsidRPr="00630DCF">
        <w:t xml:space="preserve">. Данный алгоритм широко применяется в задачах оценки и классификации благодаря своей интерпретируемости: база правил формируется на естественном языке и легко может быть скорректирована экспертом, данных подход используется и в наиболее близком исследовании [1]. Процесс нечеткого вывода включает следующие этапы: формирование базы правил, </w:t>
      </w:r>
      <w:proofErr w:type="spellStart"/>
      <w:r w:rsidRPr="00630DCF">
        <w:t>фаззификация</w:t>
      </w:r>
      <w:proofErr w:type="spellEnd"/>
      <w:r w:rsidRPr="00630DCF">
        <w:t xml:space="preserve"> входных переменных, агрегирование, активизация </w:t>
      </w:r>
      <w:proofErr w:type="spellStart"/>
      <w:r w:rsidRPr="00630DCF">
        <w:t>подзаключений</w:t>
      </w:r>
      <w:proofErr w:type="spellEnd"/>
      <w:r w:rsidRPr="00630DCF">
        <w:t xml:space="preserve">, аккумуляция и </w:t>
      </w:r>
      <w:proofErr w:type="spellStart"/>
      <w:r w:rsidRPr="00630DCF">
        <w:t>дефаззификация</w:t>
      </w:r>
      <w:proofErr w:type="spellEnd"/>
      <w:r w:rsidRPr="00630DCF">
        <w:t xml:space="preserve"> (приведение к четкому значению). Сведём предложенные лингвистические переменные в табл</w:t>
      </w:r>
      <w:r w:rsidR="003D6770">
        <w:t>.</w:t>
      </w:r>
      <w:r w:rsidRPr="00630DCF">
        <w:t xml:space="preserve"> 1.</w:t>
      </w:r>
    </w:p>
    <w:p w:rsidR="000B10B6" w:rsidRPr="0071573A" w:rsidRDefault="000B10B6" w:rsidP="000B10B6">
      <w:pPr>
        <w:pStyle w:val="a1"/>
      </w:pP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649"/>
        <w:gridCol w:w="1613"/>
        <w:gridCol w:w="1614"/>
      </w:tblGrid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0B10B6">
            <w:pPr>
              <w:rPr>
                <w:b/>
                <w:bCs/>
                <w:sz w:val="16"/>
                <w:szCs w:val="16"/>
              </w:rPr>
            </w:pPr>
            <w:r w:rsidRPr="000B10B6">
              <w:rPr>
                <w:b/>
                <w:bCs/>
                <w:sz w:val="16"/>
                <w:szCs w:val="16"/>
              </w:rPr>
              <w:t>Критерий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b/>
                <w:bCs/>
                <w:sz w:val="16"/>
                <w:szCs w:val="16"/>
              </w:rPr>
            </w:pPr>
            <w:r w:rsidRPr="000B10B6">
              <w:rPr>
                <w:b/>
                <w:bCs/>
                <w:sz w:val="16"/>
                <w:szCs w:val="16"/>
              </w:rPr>
              <w:t>Лингвистическая переменная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b/>
                <w:bCs/>
                <w:sz w:val="16"/>
                <w:szCs w:val="16"/>
              </w:rPr>
            </w:pPr>
            <w:r w:rsidRPr="000B10B6">
              <w:rPr>
                <w:b/>
                <w:bCs/>
                <w:sz w:val="16"/>
                <w:szCs w:val="16"/>
              </w:rPr>
              <w:t>Терм-множество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₁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«Критичность должности»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{Низкая (Н), Средняя (С), Высокая (В)}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«Информационная открытость»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{Низкая (Н), Средняя (С), Высокая (В)}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₃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«Профессиональная активность»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{Низкая (Н), Средняя (С), Высокая (В)}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₄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«Лояльность»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{Негативная (Нег), Нейтральная (</w:t>
            </w:r>
            <w:proofErr w:type="spellStart"/>
            <w:r w:rsidRPr="000B10B6">
              <w:rPr>
                <w:sz w:val="16"/>
                <w:szCs w:val="16"/>
              </w:rPr>
              <w:t>Нейтр</w:t>
            </w:r>
            <w:proofErr w:type="spellEnd"/>
            <w:r w:rsidRPr="000B10B6">
              <w:rPr>
                <w:sz w:val="16"/>
                <w:szCs w:val="16"/>
              </w:rPr>
              <w:t>), Позитивная (Поз)}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₅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«Социальная стабильность»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{Стабильная (</w:t>
            </w:r>
            <w:proofErr w:type="spellStart"/>
            <w:r w:rsidRPr="000B10B6">
              <w:rPr>
                <w:sz w:val="16"/>
                <w:szCs w:val="16"/>
              </w:rPr>
              <w:t>Ст</w:t>
            </w:r>
            <w:proofErr w:type="spellEnd"/>
            <w:r w:rsidRPr="000B10B6">
              <w:rPr>
                <w:sz w:val="16"/>
                <w:szCs w:val="16"/>
              </w:rPr>
              <w:t>), Нестабильная (</w:t>
            </w:r>
            <w:proofErr w:type="spellStart"/>
            <w:r w:rsidRPr="000B10B6">
              <w:rPr>
                <w:sz w:val="16"/>
                <w:szCs w:val="16"/>
              </w:rPr>
              <w:t>Нест</w:t>
            </w:r>
            <w:proofErr w:type="spellEnd"/>
            <w:r w:rsidRPr="000B10B6">
              <w:rPr>
                <w:sz w:val="16"/>
                <w:szCs w:val="16"/>
              </w:rPr>
              <w:t>), Критическая (</w:t>
            </w:r>
            <w:proofErr w:type="spellStart"/>
            <w:r w:rsidRPr="000B10B6">
              <w:rPr>
                <w:sz w:val="16"/>
                <w:szCs w:val="16"/>
              </w:rPr>
              <w:t>Кр</w:t>
            </w:r>
            <w:proofErr w:type="spellEnd"/>
            <w:r w:rsidRPr="000B10B6">
              <w:rPr>
                <w:sz w:val="16"/>
                <w:szCs w:val="16"/>
              </w:rPr>
              <w:t>)}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₆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«Склонность к риску»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{Низкая (Н), Средняя (С), Высокая (В)}</w:t>
            </w:r>
          </w:p>
        </w:tc>
      </w:tr>
      <w:tr w:rsidR="000B10B6" w:rsidTr="008F7A40">
        <w:trPr>
          <w:jc w:val="center"/>
        </w:trPr>
        <w:tc>
          <w:tcPr>
            <w:tcW w:w="1649" w:type="dxa"/>
            <w:vAlign w:val="center"/>
          </w:tcPr>
          <w:p w:rsidR="000B10B6" w:rsidRPr="000B10B6" w:rsidRDefault="000B10B6" w:rsidP="003D6770">
            <w:r w:rsidRPr="000B10B6">
              <w:t>K</w:t>
            </w:r>
            <w:r w:rsidRPr="000B10B6">
              <w:rPr>
                <w:rFonts w:ascii="Cambria Math" w:hAnsi="Cambria Math" w:cs="Cambria Math"/>
              </w:rPr>
              <w:t>₇</w:t>
            </w:r>
          </w:p>
        </w:tc>
        <w:tc>
          <w:tcPr>
            <w:tcW w:w="1613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«Цифровая грамотность»</w:t>
            </w:r>
          </w:p>
        </w:tc>
        <w:tc>
          <w:tcPr>
            <w:tcW w:w="1614" w:type="dxa"/>
            <w:vAlign w:val="center"/>
          </w:tcPr>
          <w:p w:rsidR="000B10B6" w:rsidRPr="000B10B6" w:rsidRDefault="000B10B6" w:rsidP="000B10B6">
            <w:pPr>
              <w:rPr>
                <w:sz w:val="16"/>
                <w:szCs w:val="16"/>
              </w:rPr>
            </w:pPr>
            <w:r w:rsidRPr="000B10B6">
              <w:rPr>
                <w:sz w:val="16"/>
                <w:szCs w:val="16"/>
              </w:rPr>
              <w:t>{Низкая (Н), Средняя (С), Высокая (В)}</w:t>
            </w:r>
          </w:p>
        </w:tc>
      </w:tr>
    </w:tbl>
    <w:p w:rsidR="000B10B6" w:rsidRDefault="000B10B6" w:rsidP="003D6770">
      <w:pPr>
        <w:pStyle w:val="a3"/>
        <w:spacing w:before="120"/>
      </w:pPr>
      <w:r w:rsidRPr="000B10B6">
        <w:t>В качестве выходной переменной ожидается «Индекс потенциальной уязвимости» P со значениями {Низкий (Н), Средний (С), Высокий (В)}.</w:t>
      </w:r>
    </w:p>
    <w:p w:rsidR="000B10B6" w:rsidRPr="008928BF" w:rsidRDefault="000B10B6" w:rsidP="000B10B6">
      <w:pPr>
        <w:pStyle w:val="a3"/>
        <w:spacing w:before="120"/>
      </w:pPr>
      <w:r w:rsidRPr="000B10B6">
        <w:t>Для лингвистических переменных будем использовать трапециевидные и треугольные функции принадлежности, как наиболее простые при экспертной настройке. Универсум для всех переменных примем в интервале [0, 1]. Ввиду ограниченного объема приведем описание функций принадлежности для выходной переменной «Индекс потенциальной уязвимости»:</w:t>
      </w:r>
    </w:p>
    <w:p w:rsidR="000B10B6" w:rsidRDefault="000B10B6" w:rsidP="000B10B6">
      <w:pPr>
        <w:pStyle w:val="-"/>
      </w:pPr>
      <w:r>
        <w:t>Терм «Низкий»: трапециевидная функция с параметрами [0; 0; 0,2; 0,35];</w:t>
      </w:r>
    </w:p>
    <w:p w:rsidR="000B10B6" w:rsidRDefault="000B10B6" w:rsidP="000B10B6">
      <w:pPr>
        <w:pStyle w:val="-"/>
      </w:pPr>
      <w:r>
        <w:t>Терм «Средний»: треугольная функция с параметрами [0,2; 0,5; 0,8];</w:t>
      </w:r>
    </w:p>
    <w:p w:rsidR="004B14C2" w:rsidRDefault="000B10B6" w:rsidP="003D6770">
      <w:pPr>
        <w:pStyle w:val="-"/>
        <w:spacing w:after="120"/>
      </w:pPr>
      <w:r>
        <w:t>Терм «Высокий»: трапециевидная функция с параметрами [0,65; 0,8; 1; 1].</w:t>
      </w:r>
    </w:p>
    <w:p w:rsidR="000B10B6" w:rsidRPr="000B10B6" w:rsidRDefault="000B10B6" w:rsidP="000B10B6">
      <w:pPr>
        <w:pStyle w:val="a3"/>
      </w:pPr>
      <w:r w:rsidRPr="000B10B6">
        <w:t>Иллюстрация функций для выходной принадлежности приведена на рис</w:t>
      </w:r>
      <w:r w:rsidR="003D6770">
        <w:t>.</w:t>
      </w:r>
      <w:r w:rsidRPr="000B10B6">
        <w:t xml:space="preserve"> 1.</w:t>
      </w:r>
    </w:p>
    <w:p w:rsidR="004B14C2" w:rsidRDefault="004B14C2" w:rsidP="00D80951">
      <w:pPr>
        <w:pStyle w:val="a3"/>
        <w:sectPr w:rsidR="004B14C2" w:rsidSect="0050271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4B14C2" w:rsidRDefault="004B14C2" w:rsidP="00630DCF">
      <w:pPr>
        <w:pStyle w:val="a3"/>
        <w:spacing w:after="0"/>
        <w:ind w:firstLine="0"/>
      </w:pPr>
    </w:p>
    <w:p w:rsidR="00D80951" w:rsidRDefault="000B10B6" w:rsidP="004B14C2">
      <w:pPr>
        <w:pStyle w:val="a3"/>
        <w:spacing w:before="120"/>
        <w:ind w:firstLine="0"/>
        <w:jc w:val="center"/>
      </w:pPr>
      <w:r>
        <w:rPr>
          <w:iCs/>
          <w:noProof/>
          <w:lang w:eastAsia="ru-RU"/>
        </w:rPr>
        <w:lastRenderedPageBreak/>
        <w:drawing>
          <wp:inline distT="0" distB="0" distL="0" distR="0" wp14:anchorId="618E4D34" wp14:editId="2B34BACE">
            <wp:extent cx="5565913" cy="1542553"/>
            <wp:effectExtent l="0" t="0" r="1587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1520" w:rsidRDefault="000B10B6" w:rsidP="008834FE">
      <w:pPr>
        <w:pStyle w:val="a"/>
      </w:pPr>
      <w:r>
        <w:t>Иллюстрация функций для выходной переменной</w:t>
      </w:r>
    </w:p>
    <w:p w:rsidR="004B14C2" w:rsidRDefault="004B14C2" w:rsidP="00D80951">
      <w:pPr>
        <w:pStyle w:val="a3"/>
        <w:sectPr w:rsidR="004B14C2" w:rsidSect="004B14C2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:rsidR="000B10B6" w:rsidRDefault="000B10B6" w:rsidP="000B10B6">
      <w:pPr>
        <w:pStyle w:val="a3"/>
      </w:pPr>
      <w:r>
        <w:lastRenderedPageBreak/>
        <w:t>Аналогичным образом задаются функции принадлежности для входных переменных. Параметры функций могут уточняться в процессе экспертного оценивания и настройки модели в зависимости от условий организации и внешних факторов.</w:t>
      </w:r>
    </w:p>
    <w:p w:rsidR="000B10B6" w:rsidRDefault="000B10B6" w:rsidP="000B10B6">
      <w:pPr>
        <w:pStyle w:val="a3"/>
      </w:pPr>
      <w:r>
        <w:t>База правил является ядром нечёткой модели. Для 7</w:t>
      </w:r>
      <w:r w:rsidR="003D6770">
        <w:t> </w:t>
      </w:r>
      <w:r>
        <w:t>входных критериев полная база могла бы содержать 2187 правил, однако на практике используется сокращенный набор, охватывающий наиболее значимые комбинации критериев. Приведём несколько типовых правил, которые охватывают часть типовых сценариев:</w:t>
      </w:r>
    </w:p>
    <w:p w:rsidR="000B10B6" w:rsidRDefault="000B10B6" w:rsidP="000B10B6">
      <w:pPr>
        <w:pStyle w:val="a3"/>
      </w:pPr>
      <w:r>
        <w:t>1)</w:t>
      </w:r>
      <w:r>
        <w:tab/>
        <w:t>ЕСЛИ (Критичность = Высокая) И (Информационная открытость = Высокая) И (Лояльность = Негативная) И (Социальная стабильность = Критическая), ТО (Индекс уязвимости = Высокий), так как сотрудник с высокими привилегиями, открытой информацией о себе, негативно настроенный к работодателю и находящийся в сложных жизненных обстоятельствах представляет наибольший риск;</w:t>
      </w:r>
    </w:p>
    <w:p w:rsidR="000B10B6" w:rsidRDefault="000B10B6" w:rsidP="000B10B6">
      <w:pPr>
        <w:pStyle w:val="a3"/>
      </w:pPr>
      <w:r>
        <w:t>2)</w:t>
      </w:r>
      <w:r>
        <w:tab/>
        <w:t>ЕСЛИ (Критичность = Высокая) И (Лояльность = Позитивная) И (Цифровая грамотность = Высокая), ТО (Индекс уязвимости = Средний), высокий уровень доступа может частично компенсироваться лояльностью и высокой осведомленностью, снижая итоговую оценку до среднего уровня.</w:t>
      </w:r>
    </w:p>
    <w:p w:rsidR="000B10B6" w:rsidRDefault="000B10B6" w:rsidP="000B10B6">
      <w:pPr>
        <w:pStyle w:val="a3"/>
      </w:pPr>
      <w:r>
        <w:t>Как уже указывалось ранее, полный набор правил формируется экспертом, исходя из условий организации.</w:t>
      </w:r>
    </w:p>
    <w:p w:rsidR="000B10B6" w:rsidRDefault="004B14C2" w:rsidP="000B10B6">
      <w:pPr>
        <w:pStyle w:val="a3"/>
      </w:pPr>
      <w:r>
        <w:t xml:space="preserve"> </w:t>
      </w:r>
      <w:r w:rsidR="000B10B6">
        <w:t>Для получения четкого числового значения «Индекса потенциальной уязвимости» используется следующая процедура:</w:t>
      </w:r>
    </w:p>
    <w:p w:rsidR="000B10B6" w:rsidRDefault="000B10B6" w:rsidP="000B10B6">
      <w:pPr>
        <w:pStyle w:val="a3"/>
      </w:pPr>
      <w:r>
        <w:t>1)</w:t>
      </w:r>
      <w:r>
        <w:tab/>
      </w:r>
      <w:proofErr w:type="spellStart"/>
      <w:r>
        <w:t>Фаззификация</w:t>
      </w:r>
      <w:proofErr w:type="spellEnd"/>
      <w:r>
        <w:t>: для каждого сотрудника по каждому критерию определяется степень принадлежности к соответствующим термам на основе заданных функций принадлежности;</w:t>
      </w:r>
    </w:p>
    <w:p w:rsidR="000B10B6" w:rsidRDefault="000B10B6" w:rsidP="000B10B6">
      <w:pPr>
        <w:pStyle w:val="a3"/>
      </w:pPr>
      <w:r>
        <w:t>2)</w:t>
      </w:r>
      <w:r>
        <w:tab/>
        <w:t>Агрегирование и активизация: для каждого правила вычисляется степень истинности посылки (как минимум конъюнкций) и производится "усечение" функции принадлежности заключения;</w:t>
      </w:r>
    </w:p>
    <w:p w:rsidR="000B10B6" w:rsidRDefault="000B10B6" w:rsidP="000B10B6">
      <w:pPr>
        <w:pStyle w:val="a3"/>
      </w:pPr>
      <w:r>
        <w:t>3)</w:t>
      </w:r>
      <w:r>
        <w:tab/>
        <w:t>Аккумуляция: все усеченные функции принадлежности, полученные для выходной переменной, объединяются (обычно с использованием операции максимума);</w:t>
      </w:r>
    </w:p>
    <w:p w:rsidR="00711520" w:rsidRDefault="000B10B6" w:rsidP="000B10B6">
      <w:pPr>
        <w:pStyle w:val="a3"/>
      </w:pPr>
      <w:r>
        <w:t>4)</w:t>
      </w:r>
      <w:r>
        <w:tab/>
      </w:r>
      <w:proofErr w:type="spellStart"/>
      <w:r>
        <w:t>Дефаззификация</w:t>
      </w:r>
      <w:proofErr w:type="spellEnd"/>
      <w:r>
        <w:t>: полученное нечеткое множество преобразуется в четкое число. Наиболее часто используется метод центра тяжести, при котором итоговое значение вычисляется как абсцисса центра тяжести результирующей фигуры.</w:t>
      </w:r>
    </w:p>
    <w:p w:rsidR="000B10B6" w:rsidRDefault="000B10B6" w:rsidP="000B10B6">
      <w:pPr>
        <w:pStyle w:val="a3"/>
      </w:pPr>
      <w:r>
        <w:lastRenderedPageBreak/>
        <w:t xml:space="preserve">Итоговое значение P </w:t>
      </w:r>
      <w:r>
        <w:rPr>
          <w:rFonts w:ascii="Cambria Math" w:hAnsi="Cambria Math" w:cs="Cambria Math"/>
        </w:rPr>
        <w:t>∈</w:t>
      </w:r>
      <w:r>
        <w:t xml:space="preserve"> [0, 1] интерпретируется следующим образом:</w:t>
      </w:r>
    </w:p>
    <w:p w:rsidR="000B10B6" w:rsidRDefault="000B10B6" w:rsidP="000B10B6">
      <w:pPr>
        <w:pStyle w:val="-"/>
      </w:pPr>
      <w:r>
        <w:t>0 ≤ P &lt; 0,35 — низкий уровень потенциальной уязвимости;</w:t>
      </w:r>
    </w:p>
    <w:p w:rsidR="000B10B6" w:rsidRDefault="000B10B6" w:rsidP="000B10B6">
      <w:pPr>
        <w:pStyle w:val="-"/>
      </w:pPr>
      <w:r>
        <w:t>0,35 ≤ P &lt; 0,65 — средний уровень;</w:t>
      </w:r>
    </w:p>
    <w:p w:rsidR="000B10B6" w:rsidRDefault="000B10B6" w:rsidP="003D6770">
      <w:pPr>
        <w:pStyle w:val="-"/>
        <w:spacing w:after="120"/>
      </w:pPr>
      <w:r>
        <w:t>0,65 ≤ P ≤ 1 — высокий уровень</w:t>
      </w:r>
      <w:r w:rsidR="003D6770">
        <w:t>.</w:t>
      </w:r>
    </w:p>
    <w:p w:rsidR="000B10B6" w:rsidRDefault="000B10B6" w:rsidP="000B10B6">
      <w:pPr>
        <w:pStyle w:val="1"/>
      </w:pPr>
      <w:r w:rsidRPr="000B10B6">
        <w:t>Пример работы модели</w:t>
      </w:r>
    </w:p>
    <w:p w:rsidR="006731C5" w:rsidRPr="006731C5" w:rsidRDefault="006731C5" w:rsidP="000B10B6">
      <w:pPr>
        <w:pStyle w:val="a3"/>
      </w:pPr>
      <w:r>
        <w:t>Смоделируем двух сотрудников организации и проверим их по упрощённому набору из 6 правил</w:t>
      </w:r>
      <w:r w:rsidRPr="006731C5">
        <w:t>,</w:t>
      </w:r>
      <w:r>
        <w:t xml:space="preserve"> чтобы доказать практическую применимость предложенного метода</w:t>
      </w:r>
      <w:r w:rsidRPr="006731C5">
        <w:t>.</w:t>
      </w:r>
    </w:p>
    <w:p w:rsidR="000B10B6" w:rsidRDefault="000B10B6" w:rsidP="000B10B6">
      <w:pPr>
        <w:pStyle w:val="a3"/>
      </w:pPr>
      <w:r>
        <w:t>Сотрудник</w:t>
      </w:r>
      <w:proofErr w:type="gramStart"/>
      <w:r>
        <w:t xml:space="preserve"> А</w:t>
      </w:r>
      <w:proofErr w:type="gramEnd"/>
      <w:r>
        <w:t xml:space="preserve"> (рядовой бухгалтер): </w:t>
      </w:r>
      <w:proofErr w:type="gramStart"/>
      <w:r>
        <w:t xml:space="preserve">Критичность должности – низкая; Информационная открытость </w:t>
      </w:r>
      <w:r w:rsidR="003D6770">
        <w:t>–</w:t>
      </w:r>
      <w:r>
        <w:t xml:space="preserve"> низкая; Профессиональная активность </w:t>
      </w:r>
      <w:r w:rsidR="003D6770">
        <w:t>–</w:t>
      </w:r>
      <w:r>
        <w:t xml:space="preserve"> низкая; Лояльность </w:t>
      </w:r>
      <w:r w:rsidR="003D6770">
        <w:t>–</w:t>
      </w:r>
      <w:r>
        <w:t xml:space="preserve"> позитивная; Социальная стабильность </w:t>
      </w:r>
      <w:r w:rsidR="003D6770">
        <w:t>–</w:t>
      </w:r>
      <w:r>
        <w:t xml:space="preserve"> стабильная; Склонность к риску </w:t>
      </w:r>
      <w:r w:rsidR="003D6770">
        <w:t>–</w:t>
      </w:r>
      <w:r>
        <w:t xml:space="preserve"> низкая; Цифровая грамотность </w:t>
      </w:r>
      <w:r w:rsidR="003D6770">
        <w:t>–</w:t>
      </w:r>
      <w:r>
        <w:t xml:space="preserve"> средняя.</w:t>
      </w:r>
      <w:proofErr w:type="gramEnd"/>
    </w:p>
    <w:p w:rsidR="00AA1C69" w:rsidRDefault="000B10B6" w:rsidP="00AA1C69">
      <w:pPr>
        <w:pStyle w:val="a3"/>
      </w:pPr>
      <w:r>
        <w:t>Сотрудник Б (руководитель отдела закупок): Критичность должности – высокая; Информационная открытость: высокая; Профессиональная активность – высокая; Лояльность – нейтральная; Социальная стабильность – нестабильная; Склонность к риску – средняя; Цифровая грамотность – средняя.</w:t>
      </w:r>
    </w:p>
    <w:p w:rsidR="00084C1B" w:rsidRDefault="00C10A2B" w:rsidP="00AA1C69">
      <w:pPr>
        <w:pStyle w:val="a3"/>
      </w:pPr>
      <w:r>
        <w:t>Смоделируем</w:t>
      </w:r>
      <w:r w:rsidR="00084C1B">
        <w:t xml:space="preserve"> эти же характеристики в числах</w:t>
      </w:r>
      <w:r w:rsidRPr="00C10A2B">
        <w:t>.</w:t>
      </w:r>
      <w:r>
        <w:t xml:space="preserve"> Для сотрудника А</w:t>
      </w:r>
      <w:r w:rsidRPr="00C10A2B">
        <w:t>:</w:t>
      </w:r>
    </w:p>
    <w:p w:rsidR="00C10A2B" w:rsidRDefault="00C10A2B" w:rsidP="00C10A2B">
      <w:pPr>
        <w:pStyle w:val="-"/>
      </w:pPr>
      <w:r>
        <w:t>K₁=0.2 → Низкая: 0.8, Средняя: 0.2, Высокая: 0</w:t>
      </w:r>
      <w:r>
        <w:rPr>
          <w:lang w:val="en-US"/>
        </w:rPr>
        <w:t>;</w:t>
      </w:r>
    </w:p>
    <w:p w:rsidR="00C10A2B" w:rsidRDefault="00C10A2B" w:rsidP="00C10A2B">
      <w:pPr>
        <w:pStyle w:val="-"/>
      </w:pPr>
      <w:r>
        <w:t>K₂=0.1 → Низкая: 1.0</w:t>
      </w:r>
      <w:r>
        <w:rPr>
          <w:lang w:val="en-US"/>
        </w:rPr>
        <w:t>;</w:t>
      </w:r>
    </w:p>
    <w:p w:rsidR="00C10A2B" w:rsidRDefault="00C10A2B" w:rsidP="00C10A2B">
      <w:pPr>
        <w:pStyle w:val="-"/>
      </w:pPr>
      <w:r>
        <w:t>K₃=0.1 → Низкая: 1.0</w:t>
      </w:r>
      <w:r>
        <w:rPr>
          <w:lang w:val="en-US"/>
        </w:rPr>
        <w:t>;</w:t>
      </w:r>
    </w:p>
    <w:p w:rsidR="00C10A2B" w:rsidRDefault="00C10A2B" w:rsidP="00C10A2B">
      <w:pPr>
        <w:pStyle w:val="-"/>
      </w:pPr>
      <w:r>
        <w:t>K₄=0.9 → Поз: 1.0</w:t>
      </w:r>
      <w:r>
        <w:rPr>
          <w:lang w:val="en-US"/>
        </w:rPr>
        <w:t>;</w:t>
      </w:r>
    </w:p>
    <w:p w:rsidR="00C10A2B" w:rsidRDefault="00C10A2B" w:rsidP="00C10A2B">
      <w:pPr>
        <w:pStyle w:val="-"/>
      </w:pPr>
      <w:r>
        <w:t xml:space="preserve">K₅=0.8 → </w:t>
      </w:r>
      <w:proofErr w:type="spellStart"/>
      <w:r>
        <w:t>Стаб</w:t>
      </w:r>
      <w:proofErr w:type="spellEnd"/>
      <w:r>
        <w:t>: 1.0</w:t>
      </w:r>
      <w:r>
        <w:rPr>
          <w:lang w:val="en-US"/>
        </w:rPr>
        <w:t>;</w:t>
      </w:r>
    </w:p>
    <w:p w:rsidR="00C10A2B" w:rsidRDefault="00C10A2B" w:rsidP="00C10A2B">
      <w:pPr>
        <w:pStyle w:val="-"/>
      </w:pPr>
      <w:r>
        <w:t>K₆=0.2 → Низкая: 0.8, Средняя: 0.2</w:t>
      </w:r>
      <w:r>
        <w:rPr>
          <w:lang w:val="en-US"/>
        </w:rPr>
        <w:t>;</w:t>
      </w:r>
    </w:p>
    <w:p w:rsidR="00084C1B" w:rsidRDefault="00C10A2B" w:rsidP="00C10A2B">
      <w:pPr>
        <w:pStyle w:val="-"/>
      </w:pPr>
      <w:r>
        <w:t>K₇=0.5 → Средняя: 1.0.</w:t>
      </w:r>
    </w:p>
    <w:p w:rsidR="00C10A2B" w:rsidRDefault="00C10A2B" w:rsidP="00C10A2B">
      <w:pPr>
        <w:pStyle w:val="a3"/>
        <w:rPr>
          <w:lang w:val="en-US"/>
        </w:rPr>
      </w:pPr>
      <w:r>
        <w:t>Для сотрудника Б</w:t>
      </w:r>
      <w:r>
        <w:rPr>
          <w:lang w:val="en-US"/>
        </w:rPr>
        <w:t>:</w:t>
      </w:r>
    </w:p>
    <w:p w:rsidR="00C10A2B" w:rsidRDefault="00C10A2B" w:rsidP="00C10A2B">
      <w:pPr>
        <w:pStyle w:val="-"/>
      </w:pPr>
      <w:r>
        <w:t>K₁=0.9 → Высокая: 1.0</w:t>
      </w:r>
    </w:p>
    <w:p w:rsidR="00C10A2B" w:rsidRDefault="00C10A2B" w:rsidP="00C10A2B">
      <w:pPr>
        <w:pStyle w:val="-"/>
      </w:pPr>
      <w:r>
        <w:t>K₂=0.85 → Высокая: 1.0</w:t>
      </w:r>
    </w:p>
    <w:p w:rsidR="00C10A2B" w:rsidRDefault="00C10A2B" w:rsidP="00C10A2B">
      <w:pPr>
        <w:pStyle w:val="-"/>
      </w:pPr>
      <w:r>
        <w:t>K₃=0.9 → Высокая: 1.0</w:t>
      </w:r>
    </w:p>
    <w:p w:rsidR="00C10A2B" w:rsidRDefault="00C10A2B" w:rsidP="00C10A2B">
      <w:pPr>
        <w:pStyle w:val="-"/>
      </w:pPr>
      <w:r>
        <w:t xml:space="preserve">K₄=0.5 → </w:t>
      </w:r>
      <w:proofErr w:type="spellStart"/>
      <w:r>
        <w:t>Нейтр</w:t>
      </w:r>
      <w:proofErr w:type="spellEnd"/>
      <w:r>
        <w:t>: 0.8, Нег: 0.2</w:t>
      </w:r>
    </w:p>
    <w:p w:rsidR="00C10A2B" w:rsidRDefault="006731C5" w:rsidP="00C10A2B">
      <w:pPr>
        <w:pStyle w:val="-"/>
      </w:pPr>
      <w:r>
        <w:t xml:space="preserve">K₅=0.4 → </w:t>
      </w:r>
      <w:proofErr w:type="spellStart"/>
      <w:r>
        <w:t>Нестаб</w:t>
      </w:r>
      <w:proofErr w:type="spellEnd"/>
      <w:r>
        <w:t>: 1.0</w:t>
      </w:r>
    </w:p>
    <w:p w:rsidR="00C10A2B" w:rsidRDefault="00C10A2B" w:rsidP="00C10A2B">
      <w:pPr>
        <w:pStyle w:val="-"/>
      </w:pPr>
      <w:r>
        <w:t>K₆=0.5 → Средняя: 1.0</w:t>
      </w:r>
    </w:p>
    <w:p w:rsidR="00C10A2B" w:rsidRDefault="00C10A2B" w:rsidP="001D0F52">
      <w:pPr>
        <w:pStyle w:val="-"/>
      </w:pPr>
      <w:r>
        <w:t>K₇=0.5 → Средняя: 1.0</w:t>
      </w:r>
    </w:p>
    <w:p w:rsidR="006731C5" w:rsidRPr="006731C5" w:rsidRDefault="006731C5" w:rsidP="00C10A2B">
      <w:pPr>
        <w:pStyle w:val="a3"/>
      </w:pPr>
      <w:r w:rsidRPr="006731C5">
        <w:t xml:space="preserve">В </w:t>
      </w:r>
      <w:r>
        <w:t>табл</w:t>
      </w:r>
      <w:r w:rsidR="003D6770">
        <w:t>.</w:t>
      </w:r>
      <w:r>
        <w:t xml:space="preserve"> 2 приведены правила</w:t>
      </w:r>
      <w:r w:rsidRPr="006731C5">
        <w:t>,</w:t>
      </w:r>
      <w:r>
        <w:t xml:space="preserve"> по которым мы сравним представленных выше</w:t>
      </w:r>
      <w:r w:rsidRPr="006731C5">
        <w:t xml:space="preserve"> </w:t>
      </w:r>
      <w:r>
        <w:t>сотрудников</w:t>
      </w:r>
      <w:r w:rsidRPr="006731C5">
        <w:t>.</w:t>
      </w:r>
    </w:p>
    <w:p w:rsidR="00AA1C69" w:rsidRPr="0071573A" w:rsidRDefault="00AA1C69" w:rsidP="00AA1C69">
      <w:pPr>
        <w:pStyle w:val="a1"/>
      </w:pP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415"/>
        <w:gridCol w:w="541"/>
        <w:gridCol w:w="586"/>
        <w:gridCol w:w="526"/>
        <w:gridCol w:w="627"/>
        <w:gridCol w:w="629"/>
        <w:gridCol w:w="529"/>
        <w:gridCol w:w="542"/>
        <w:gridCol w:w="481"/>
      </w:tblGrid>
      <w:tr w:rsidR="00AA1C69" w:rsidTr="003D6770">
        <w:trPr>
          <w:jc w:val="center"/>
        </w:trPr>
        <w:tc>
          <w:tcPr>
            <w:tcW w:w="413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№</w:t>
            </w:r>
          </w:p>
        </w:tc>
        <w:tc>
          <w:tcPr>
            <w:tcW w:w="54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₁</w:t>
            </w:r>
          </w:p>
        </w:tc>
        <w:tc>
          <w:tcPr>
            <w:tcW w:w="58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52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₃</w:t>
            </w:r>
          </w:p>
        </w:tc>
        <w:tc>
          <w:tcPr>
            <w:tcW w:w="626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₄</w:t>
            </w:r>
          </w:p>
        </w:tc>
        <w:tc>
          <w:tcPr>
            <w:tcW w:w="6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₅</w:t>
            </w:r>
          </w:p>
        </w:tc>
        <w:tc>
          <w:tcPr>
            <w:tcW w:w="5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₆</w:t>
            </w:r>
          </w:p>
        </w:tc>
        <w:tc>
          <w:tcPr>
            <w:tcW w:w="541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K</w:t>
            </w:r>
            <w:r w:rsidRPr="00AA1C69">
              <w:rPr>
                <w:rFonts w:ascii="Cambria Math" w:hAnsi="Cambria Math" w:cs="Cambria Math"/>
              </w:rPr>
              <w:t>₇</w:t>
            </w:r>
          </w:p>
        </w:tc>
        <w:tc>
          <w:tcPr>
            <w:tcW w:w="48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rPr>
                <w:rStyle w:val="af4"/>
                <w:b/>
                <w:i w:val="0"/>
                <w:szCs w:val="16"/>
                <w:lang w:val="en-US"/>
              </w:rPr>
              <w:t>P</w:t>
            </w:r>
          </w:p>
        </w:tc>
      </w:tr>
      <w:tr w:rsidR="00AA1C69" w:rsidTr="003D6770">
        <w:trPr>
          <w:jc w:val="center"/>
        </w:trPr>
        <w:tc>
          <w:tcPr>
            <w:tcW w:w="413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1</w:t>
            </w:r>
          </w:p>
        </w:tc>
        <w:tc>
          <w:tcPr>
            <w:tcW w:w="54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В</w:t>
            </w:r>
          </w:p>
        </w:tc>
        <w:tc>
          <w:tcPr>
            <w:tcW w:w="58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С</w:t>
            </w:r>
          </w:p>
        </w:tc>
        <w:tc>
          <w:tcPr>
            <w:tcW w:w="52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626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Нег</w:t>
            </w:r>
          </w:p>
        </w:tc>
        <w:tc>
          <w:tcPr>
            <w:tcW w:w="628" w:type="dxa"/>
            <w:vAlign w:val="center"/>
          </w:tcPr>
          <w:p w:rsidR="00AA1C69" w:rsidRPr="00AA1C69" w:rsidRDefault="00AA1C69" w:rsidP="003D6770">
            <w:pPr>
              <w:pStyle w:val="af1"/>
            </w:pPr>
            <w:proofErr w:type="spellStart"/>
            <w:proofErr w:type="gramStart"/>
            <w:r w:rsidRPr="00AA1C69">
              <w:t>Кр</w:t>
            </w:r>
            <w:proofErr w:type="spellEnd"/>
            <w:proofErr w:type="gramEnd"/>
          </w:p>
        </w:tc>
        <w:tc>
          <w:tcPr>
            <w:tcW w:w="5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41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48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В</w:t>
            </w:r>
          </w:p>
        </w:tc>
      </w:tr>
      <w:tr w:rsidR="00AA1C69" w:rsidTr="003D6770">
        <w:trPr>
          <w:jc w:val="center"/>
        </w:trPr>
        <w:tc>
          <w:tcPr>
            <w:tcW w:w="413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2</w:t>
            </w:r>
          </w:p>
        </w:tc>
        <w:tc>
          <w:tcPr>
            <w:tcW w:w="54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8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2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626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Поз</w:t>
            </w:r>
          </w:p>
        </w:tc>
        <w:tc>
          <w:tcPr>
            <w:tcW w:w="6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41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В</w:t>
            </w:r>
          </w:p>
        </w:tc>
        <w:tc>
          <w:tcPr>
            <w:tcW w:w="48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Н</w:t>
            </w:r>
          </w:p>
        </w:tc>
      </w:tr>
      <w:tr w:rsidR="00AA1C69" w:rsidTr="003D6770">
        <w:trPr>
          <w:jc w:val="center"/>
        </w:trPr>
        <w:tc>
          <w:tcPr>
            <w:tcW w:w="413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3</w:t>
            </w:r>
          </w:p>
        </w:tc>
        <w:tc>
          <w:tcPr>
            <w:tcW w:w="54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С</w:t>
            </w:r>
          </w:p>
        </w:tc>
        <w:tc>
          <w:tcPr>
            <w:tcW w:w="58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С</w:t>
            </w:r>
          </w:p>
        </w:tc>
        <w:tc>
          <w:tcPr>
            <w:tcW w:w="525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626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6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28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В</w:t>
            </w:r>
          </w:p>
        </w:tc>
        <w:tc>
          <w:tcPr>
            <w:tcW w:w="541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Н</w:t>
            </w:r>
          </w:p>
        </w:tc>
        <w:tc>
          <w:tcPr>
            <w:tcW w:w="480" w:type="dxa"/>
            <w:vAlign w:val="center"/>
          </w:tcPr>
          <w:p w:rsidR="00AA1C69" w:rsidRPr="00AA1C69" w:rsidRDefault="00AA1C69" w:rsidP="003D6770">
            <w:pPr>
              <w:pStyle w:val="af1"/>
            </w:pPr>
            <w:r w:rsidRPr="00AA1C69">
              <w:t>С</w:t>
            </w:r>
          </w:p>
        </w:tc>
      </w:tr>
      <w:tr w:rsidR="00AA1C69" w:rsidTr="003D6770">
        <w:trPr>
          <w:jc w:val="center"/>
        </w:trPr>
        <w:tc>
          <w:tcPr>
            <w:tcW w:w="413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  <w:lang w:val="en-US"/>
              </w:rPr>
            </w:pPr>
            <w:r w:rsidRPr="00AA1C69">
              <w:rPr>
                <w:rStyle w:val="af4"/>
                <w:i w:val="0"/>
                <w:szCs w:val="16"/>
                <w:lang w:val="en-US"/>
              </w:rPr>
              <w:t>4</w:t>
            </w:r>
          </w:p>
        </w:tc>
        <w:tc>
          <w:tcPr>
            <w:tcW w:w="540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В</w:t>
            </w:r>
          </w:p>
        </w:tc>
        <w:tc>
          <w:tcPr>
            <w:tcW w:w="585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525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626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Поз</w:t>
            </w:r>
          </w:p>
        </w:tc>
        <w:tc>
          <w:tcPr>
            <w:tcW w:w="628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528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541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В</w:t>
            </w:r>
          </w:p>
        </w:tc>
        <w:tc>
          <w:tcPr>
            <w:tcW w:w="480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С</w:t>
            </w:r>
          </w:p>
        </w:tc>
      </w:tr>
      <w:tr w:rsidR="00AA1C69" w:rsidTr="003D6770">
        <w:trPr>
          <w:jc w:val="center"/>
        </w:trPr>
        <w:tc>
          <w:tcPr>
            <w:tcW w:w="413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5</w:t>
            </w:r>
          </w:p>
        </w:tc>
        <w:tc>
          <w:tcPr>
            <w:tcW w:w="540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В</w:t>
            </w:r>
          </w:p>
        </w:tc>
        <w:tc>
          <w:tcPr>
            <w:tcW w:w="585" w:type="dxa"/>
          </w:tcPr>
          <w:p w:rsidR="00AA1C69" w:rsidRPr="00AA1C69" w:rsidRDefault="00AA1C69" w:rsidP="003D6770">
            <w:pPr>
              <w:pStyle w:val="af1"/>
            </w:pPr>
            <w:r w:rsidRPr="00AA1C69">
              <w:t>В</w:t>
            </w:r>
          </w:p>
        </w:tc>
        <w:tc>
          <w:tcPr>
            <w:tcW w:w="525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626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628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28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41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480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В</w:t>
            </w:r>
          </w:p>
        </w:tc>
      </w:tr>
      <w:tr w:rsidR="00AA1C69" w:rsidTr="003D6770">
        <w:trPr>
          <w:jc w:val="center"/>
        </w:trPr>
        <w:tc>
          <w:tcPr>
            <w:tcW w:w="413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6</w:t>
            </w:r>
          </w:p>
        </w:tc>
        <w:tc>
          <w:tcPr>
            <w:tcW w:w="540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Н</w:t>
            </w:r>
          </w:p>
        </w:tc>
        <w:tc>
          <w:tcPr>
            <w:tcW w:w="585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25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626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Поз</w:t>
            </w:r>
          </w:p>
        </w:tc>
        <w:tc>
          <w:tcPr>
            <w:tcW w:w="628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28" w:type="dxa"/>
          </w:tcPr>
          <w:p w:rsidR="00AA1C69" w:rsidRPr="00AA1C69" w:rsidRDefault="00AA1C69" w:rsidP="003D6770">
            <w:pPr>
              <w:pStyle w:val="af1"/>
            </w:pPr>
            <w:r w:rsidRPr="00AA1C69">
              <w:t>—</w:t>
            </w:r>
          </w:p>
        </w:tc>
        <w:tc>
          <w:tcPr>
            <w:tcW w:w="541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t>—</w:t>
            </w:r>
          </w:p>
        </w:tc>
        <w:tc>
          <w:tcPr>
            <w:tcW w:w="480" w:type="dxa"/>
          </w:tcPr>
          <w:p w:rsidR="00AA1C69" w:rsidRPr="00AA1C69" w:rsidRDefault="00AA1C69" w:rsidP="003D6770">
            <w:pPr>
              <w:pStyle w:val="af1"/>
              <w:rPr>
                <w:rStyle w:val="af4"/>
                <w:i w:val="0"/>
                <w:szCs w:val="16"/>
              </w:rPr>
            </w:pPr>
            <w:r w:rsidRPr="00AA1C69">
              <w:rPr>
                <w:rStyle w:val="af4"/>
                <w:i w:val="0"/>
                <w:szCs w:val="16"/>
              </w:rPr>
              <w:t>Н</w:t>
            </w:r>
          </w:p>
        </w:tc>
      </w:tr>
    </w:tbl>
    <w:p w:rsidR="00AA1C69" w:rsidRDefault="00AA1C69" w:rsidP="003D6770">
      <w:pPr>
        <w:pStyle w:val="a3"/>
        <w:spacing w:before="120"/>
      </w:pPr>
      <w:r w:rsidRPr="00AA1C69">
        <w:t xml:space="preserve">Примечание: В — высокий, С — средний, Н — низкий, Нег — негативная, Поз — позитивная, </w:t>
      </w:r>
      <w:proofErr w:type="spellStart"/>
      <w:proofErr w:type="gramStart"/>
      <w:r w:rsidRPr="00AA1C69">
        <w:t>Кр</w:t>
      </w:r>
      <w:proofErr w:type="spellEnd"/>
      <w:proofErr w:type="gramEnd"/>
      <w:r w:rsidRPr="00AA1C69">
        <w:t xml:space="preserve"> — критическая, «—» — любое значение</w:t>
      </w:r>
      <w:r w:rsidR="00493EC8" w:rsidRPr="00493EC8">
        <w:t>.</w:t>
      </w:r>
    </w:p>
    <w:p w:rsidR="00885C1F" w:rsidRPr="003D6770" w:rsidRDefault="006731C5" w:rsidP="003D6770">
      <w:pPr>
        <w:pStyle w:val="a3"/>
      </w:pPr>
      <w:r w:rsidRPr="003D6770">
        <w:t xml:space="preserve">Рассчитаем правила для каждого из сотрудников. </w:t>
      </w:r>
    </w:p>
    <w:p w:rsidR="00885C1F" w:rsidRPr="003D6770" w:rsidRDefault="006731C5" w:rsidP="003D6770">
      <w:pPr>
        <w:pStyle w:val="a3"/>
      </w:pPr>
      <w:r w:rsidRPr="003D6770">
        <w:t>Для сотрудника</w:t>
      </w:r>
      <w:proofErr w:type="gramStart"/>
      <w:r w:rsidRPr="003D6770">
        <w:t xml:space="preserve"> А</w:t>
      </w:r>
      <w:proofErr w:type="gramEnd"/>
      <w:r w:rsidRPr="003D6770">
        <w:t xml:space="preserve"> сработает</w:t>
      </w:r>
      <w:r w:rsidR="00885C1F" w:rsidRPr="003D6770">
        <w:t xml:space="preserve"> (не в 0)</w:t>
      </w:r>
      <w:r w:rsidRPr="003D6770">
        <w:t xml:space="preserve"> только правило </w:t>
      </w:r>
      <w:r w:rsidR="00885C1F" w:rsidRPr="003D6770">
        <w:t>6: K</w:t>
      </w:r>
      <w:r w:rsidR="00885C1F" w:rsidRPr="003D6770">
        <w:rPr>
          <w:rFonts w:ascii="Cambria Math" w:hAnsi="Cambria Math" w:cs="Cambria Math"/>
        </w:rPr>
        <w:t>₁</w:t>
      </w:r>
      <w:r w:rsidR="00885C1F" w:rsidRPr="003D6770">
        <w:t>=Н: 0.8; K</w:t>
      </w:r>
      <w:r w:rsidR="00885C1F" w:rsidRPr="003D6770">
        <w:rPr>
          <w:rFonts w:ascii="Cambria Math" w:hAnsi="Cambria Math" w:cs="Cambria Math"/>
        </w:rPr>
        <w:t>₄</w:t>
      </w:r>
      <w:r w:rsidR="00885C1F" w:rsidRPr="003D6770">
        <w:t xml:space="preserve">=Поз: 1.0; → </w:t>
      </w:r>
      <w:proofErr w:type="spellStart"/>
      <w:r w:rsidR="00885C1F" w:rsidRPr="003D6770">
        <w:t>min</w:t>
      </w:r>
      <w:proofErr w:type="spellEnd"/>
      <w:r w:rsidR="00885C1F" w:rsidRPr="003D6770">
        <w:t>(0.8, 1.0) = 0.8 (Низкий риск по правилу).</w:t>
      </w:r>
    </w:p>
    <w:p w:rsidR="00885C1F" w:rsidRPr="003D6770" w:rsidRDefault="00885C1F" w:rsidP="003D6770">
      <w:pPr>
        <w:pStyle w:val="a3"/>
      </w:pPr>
      <w:r w:rsidRPr="003D6770">
        <w:t>Для сотрудника</w:t>
      </w:r>
      <w:proofErr w:type="gramStart"/>
      <w:r w:rsidRPr="003D6770">
        <w:t xml:space="preserve"> Б</w:t>
      </w:r>
      <w:proofErr w:type="gramEnd"/>
      <w:r w:rsidRPr="003D6770">
        <w:t xml:space="preserve"> сработает только правило 5: K</w:t>
      </w:r>
      <w:proofErr w:type="gramStart"/>
      <w:r w:rsidRPr="003D6770">
        <w:rPr>
          <w:rFonts w:ascii="Cambria Math" w:hAnsi="Cambria Math" w:cs="Cambria Math"/>
        </w:rPr>
        <w:t>₁</w:t>
      </w:r>
      <w:r w:rsidRPr="003D6770">
        <w:t>=В</w:t>
      </w:r>
      <w:proofErr w:type="gramEnd"/>
      <w:r w:rsidRPr="003D6770">
        <w:t>: 1.0; K</w:t>
      </w:r>
      <w:r w:rsidRPr="003D6770">
        <w:rPr>
          <w:rFonts w:ascii="Cambria Math" w:hAnsi="Cambria Math" w:cs="Cambria Math"/>
        </w:rPr>
        <w:t>₂</w:t>
      </w:r>
      <w:r w:rsidRPr="003D6770">
        <w:t xml:space="preserve">=В: 1.0 → </w:t>
      </w:r>
      <w:proofErr w:type="spellStart"/>
      <w:r w:rsidRPr="003D6770">
        <w:t>min</w:t>
      </w:r>
      <w:proofErr w:type="spellEnd"/>
      <w:r w:rsidRPr="003D6770">
        <w:t>(1.0, 1.0) = 1.0 (Высокий риск по правилу).</w:t>
      </w:r>
    </w:p>
    <w:p w:rsidR="00885C1F" w:rsidRPr="003D6770" w:rsidRDefault="00885C1F" w:rsidP="003D6770">
      <w:pPr>
        <w:pStyle w:val="a3"/>
      </w:pPr>
      <w:r w:rsidRPr="003D6770">
        <w:t>Далее возьмём предложенные в докладе функции принадлежности:</w:t>
      </w:r>
    </w:p>
    <w:p w:rsidR="00885C1F" w:rsidRPr="003D6770" w:rsidRDefault="00885C1F" w:rsidP="003D6770">
      <w:pPr>
        <w:pStyle w:val="a3"/>
      </w:pPr>
      <w:r w:rsidRPr="003D6770">
        <w:t>Для</w:t>
      </w:r>
      <w:proofErr w:type="gramStart"/>
      <w:r w:rsidRPr="003D6770">
        <w:t xml:space="preserve"> А</w:t>
      </w:r>
      <w:proofErr w:type="gramEnd"/>
      <w:r w:rsidRPr="003D6770">
        <w:t>: Усекаем «Низкий» на уровне 0.8 →</w:t>
      </w:r>
      <w:r w:rsidR="00B37B45" w:rsidRPr="003D6770">
        <w:t xml:space="preserve"> центр тяжести будет около 0.16, что попадает под низкий риск.</w:t>
      </w:r>
    </w:p>
    <w:p w:rsidR="00885C1F" w:rsidRPr="003D6770" w:rsidRDefault="00885C1F" w:rsidP="003D6770">
      <w:pPr>
        <w:pStyle w:val="a3"/>
      </w:pPr>
      <w:r w:rsidRPr="003D6770">
        <w:t>Для</w:t>
      </w:r>
      <w:proofErr w:type="gramStart"/>
      <w:r w:rsidRPr="003D6770">
        <w:t xml:space="preserve"> Б</w:t>
      </w:r>
      <w:proofErr w:type="gramEnd"/>
      <w:r w:rsidRPr="003D6770">
        <w:t>: Усекаем «Выс</w:t>
      </w:r>
      <w:r w:rsidR="00886861" w:rsidRPr="003D6770">
        <w:t xml:space="preserve">окий» на уровне 1.0 (полностью) </w:t>
      </w:r>
      <w:r w:rsidR="00B37B45" w:rsidRPr="003D6770">
        <w:t>→ центр тяжести около 0.86, что попадает под высокий риск.</w:t>
      </w:r>
    </w:p>
    <w:p w:rsidR="00493EC8" w:rsidRPr="00493EC8" w:rsidRDefault="00885C1F" w:rsidP="003D6770">
      <w:pPr>
        <w:pStyle w:val="a3"/>
      </w:pPr>
      <w:r w:rsidRPr="003D6770">
        <w:t>Итого получаем для сотрудника</w:t>
      </w:r>
      <w:proofErr w:type="gramStart"/>
      <w:r w:rsidRPr="003D6770">
        <w:t xml:space="preserve"> А</w:t>
      </w:r>
      <w:proofErr w:type="gramEnd"/>
      <w:r w:rsidRPr="003D6770">
        <w:t xml:space="preserve"> </w:t>
      </w:r>
      <w:r w:rsidR="00886861" w:rsidRPr="003D6770">
        <w:t>P ≈ 0.16</w:t>
      </w:r>
      <w:r w:rsidRPr="003D6770">
        <w:t xml:space="preserve"> (низкий риск), и для сотрудника Б </w:t>
      </w:r>
      <w:r w:rsidR="00886861" w:rsidRPr="003D6770">
        <w:t>P ≈ 0.86</w:t>
      </w:r>
      <w:r w:rsidRPr="003D6770">
        <w:t xml:space="preserve"> (высокий риск). </w:t>
      </w:r>
      <w:r w:rsidR="00493EC8" w:rsidRPr="003D6770">
        <w:t>Полученные значения соответствуют экспертным ожиданиям: сотрудник с низкими привилегиями и закрытым профилем попадает в зону низкого риска, тогда как руководитель с высоким доступом, открытой информацией и признаками</w:t>
      </w:r>
      <w:r w:rsidR="00493EC8" w:rsidRPr="00493EC8">
        <w:t xml:space="preserve"> нестабильности — в зону высокого.</w:t>
      </w:r>
    </w:p>
    <w:p w:rsidR="003915FB" w:rsidRDefault="003D6770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br w:type="column"/>
      </w:r>
      <w:r w:rsidR="003915FB">
        <w:lastRenderedPageBreak/>
        <w:t>Заключение</w:t>
      </w:r>
    </w:p>
    <w:p w:rsidR="00493EC8" w:rsidRDefault="00493EC8" w:rsidP="00493EC8">
      <w:pPr>
        <w:pStyle w:val="a3"/>
      </w:pPr>
      <w:r>
        <w:t xml:space="preserve">В работе разработана нечеткая модель интегральной оценки потенциальной уязвимости сотрудников организации. На основе анализа научной литературы выделены семь критериев, отражающих профессиональные, информационные и личностно-поведенческие характеристики персонала. С использованием аппарата нечеткой логики построена система вывода </w:t>
      </w:r>
      <w:proofErr w:type="spellStart"/>
      <w:r>
        <w:t>Мамдани</w:t>
      </w:r>
      <w:proofErr w:type="spellEnd"/>
      <w:r>
        <w:t>, включающая лингвистические переменные, функции принадлежности и базу правил, формализующую логику экспертного оценивания.</w:t>
      </w:r>
    </w:p>
    <w:p w:rsidR="00493EC8" w:rsidRDefault="00493EC8" w:rsidP="00493EC8">
      <w:pPr>
        <w:pStyle w:val="a3"/>
      </w:pPr>
      <w:r>
        <w:t xml:space="preserve">Практическая значимость работы заключается в возможности использования предложенной модели службами организаций для </w:t>
      </w:r>
      <w:proofErr w:type="spellStart"/>
      <w:r>
        <w:t>приоритизации</w:t>
      </w:r>
      <w:proofErr w:type="spellEnd"/>
      <w:r>
        <w:t xml:space="preserve"> внимания к сотрудникам, представляющим повышенный риск, и при планирования профилактических мероприятий.</w:t>
      </w:r>
    </w:p>
    <w:p w:rsidR="003915FB" w:rsidRDefault="00493EC8" w:rsidP="00493EC8">
      <w:pPr>
        <w:pStyle w:val="a3"/>
      </w:pPr>
      <w:r>
        <w:t xml:space="preserve">Дальнейшие исследования могут быть направлены </w:t>
      </w:r>
      <w:r w:rsidR="009D0FC5">
        <w:t xml:space="preserve">как </w:t>
      </w:r>
      <w:r>
        <w:t xml:space="preserve">на </w:t>
      </w:r>
      <w:proofErr w:type="spellStart"/>
      <w:r>
        <w:t>валидацию</w:t>
      </w:r>
      <w:proofErr w:type="spellEnd"/>
      <w:r>
        <w:t xml:space="preserve"> модели на реальных данных</w:t>
      </w:r>
      <w:r w:rsidR="009D0FC5">
        <w:t xml:space="preserve"> и сравнении с экспертными оценками</w:t>
      </w:r>
      <w:r w:rsidR="009D0FC5" w:rsidRPr="009D0FC5">
        <w:t>,</w:t>
      </w:r>
      <w:r w:rsidR="009D0FC5">
        <w:t xml:space="preserve"> так</w:t>
      </w:r>
      <w:r>
        <w:t xml:space="preserve"> и </w:t>
      </w:r>
      <w:r w:rsidR="009D0FC5">
        <w:t xml:space="preserve">на </w:t>
      </w:r>
      <w:r>
        <w:t>разработку программного прототипа.</w:t>
      </w:r>
    </w:p>
    <w:p w:rsidR="003915FB" w:rsidRPr="00493EC8" w:rsidRDefault="003915FB" w:rsidP="008C64AA">
      <w:pPr>
        <w:pStyle w:val="5"/>
        <w:rPr>
          <w:lang w:val="en-US"/>
        </w:rPr>
      </w:pPr>
      <w:r>
        <w:t>Список</w:t>
      </w:r>
      <w:r w:rsidRPr="00493EC8">
        <w:rPr>
          <w:lang w:val="en-US"/>
        </w:rPr>
        <w:t xml:space="preserve"> </w:t>
      </w:r>
      <w:r>
        <w:t>литературы</w:t>
      </w:r>
    </w:p>
    <w:p w:rsidR="00493EC8" w:rsidRPr="00493EC8" w:rsidRDefault="003D6770" w:rsidP="00493EC8">
      <w:pPr>
        <w:pStyle w:val="a0"/>
      </w:pPr>
      <w:proofErr w:type="spellStart"/>
      <w:r>
        <w:rPr>
          <w:lang w:val="en-US"/>
        </w:rPr>
        <w:t>Lambat</w:t>
      </w:r>
      <w:proofErr w:type="spellEnd"/>
      <w:r>
        <w:rPr>
          <w:lang w:val="en-US"/>
        </w:rPr>
        <w:t xml:space="preserve"> Y., Ayres N., </w:t>
      </w:r>
      <w:proofErr w:type="spellStart"/>
      <w:r>
        <w:rPr>
          <w:lang w:val="en-US"/>
        </w:rPr>
        <w:t>Maglaras</w:t>
      </w:r>
      <w:proofErr w:type="spellEnd"/>
      <w:r>
        <w:rPr>
          <w:lang w:val="en-US"/>
        </w:rPr>
        <w:t xml:space="preserve"> L., &amp; </w:t>
      </w:r>
      <w:proofErr w:type="spellStart"/>
      <w:r>
        <w:rPr>
          <w:lang w:val="en-US"/>
        </w:rPr>
        <w:t>Ferrag</w:t>
      </w:r>
      <w:proofErr w:type="spellEnd"/>
      <w:r w:rsidR="00493EC8" w:rsidRPr="00493EC8">
        <w:rPr>
          <w:lang w:val="en-US"/>
        </w:rPr>
        <w:t xml:space="preserve"> M. A. (2021). A </w:t>
      </w:r>
      <w:proofErr w:type="spellStart"/>
      <w:r w:rsidR="00493EC8" w:rsidRPr="00493EC8">
        <w:rPr>
          <w:lang w:val="en-US"/>
        </w:rPr>
        <w:t>Mamdani</w:t>
      </w:r>
      <w:proofErr w:type="spellEnd"/>
      <w:r w:rsidR="00493EC8" w:rsidRPr="00493EC8">
        <w:rPr>
          <w:lang w:val="en-US"/>
        </w:rPr>
        <w:t xml:space="preserve"> Type Fuzzy Inference System to Calculate Employee Susceptibility to Phishing Attacks. </w:t>
      </w:r>
      <w:proofErr w:type="spellStart"/>
      <w:r w:rsidR="00493EC8" w:rsidRPr="00493EC8">
        <w:t>Applied</w:t>
      </w:r>
      <w:proofErr w:type="spellEnd"/>
      <w:r w:rsidR="00493EC8" w:rsidRPr="00493EC8">
        <w:t xml:space="preserve"> </w:t>
      </w:r>
      <w:proofErr w:type="spellStart"/>
      <w:r w:rsidR="00493EC8" w:rsidRPr="00493EC8">
        <w:t>Sciences</w:t>
      </w:r>
      <w:proofErr w:type="spellEnd"/>
      <w:r w:rsidR="00493EC8" w:rsidRPr="00493EC8">
        <w:t>, 11(19), 9083. https://doi.org/10.3390/app11199083</w:t>
      </w:r>
    </w:p>
    <w:p w:rsidR="00493EC8" w:rsidRPr="00493EC8" w:rsidRDefault="00493EC8" w:rsidP="00493EC8">
      <w:pPr>
        <w:pStyle w:val="a0"/>
      </w:pPr>
      <w:proofErr w:type="spellStart"/>
      <w:proofErr w:type="gramStart"/>
      <w:r w:rsidRPr="00493EC8">
        <w:t>Авезова</w:t>
      </w:r>
      <w:proofErr w:type="spellEnd"/>
      <w:r w:rsidRPr="00493EC8">
        <w:t xml:space="preserve"> Я. Актуальные </w:t>
      </w:r>
      <w:proofErr w:type="spellStart"/>
      <w:r w:rsidRPr="00493EC8">
        <w:t>киберугрозы</w:t>
      </w:r>
      <w:proofErr w:type="spellEnd"/>
      <w:r w:rsidRPr="00493EC8">
        <w:t xml:space="preserve"> для организаций в СНГ:</w:t>
      </w:r>
      <w:proofErr w:type="gramEnd"/>
      <w:r w:rsidRPr="00493EC8">
        <w:t xml:space="preserve"> H2 2024 — Q3 2025 / Я. </w:t>
      </w:r>
      <w:proofErr w:type="spellStart"/>
      <w:r w:rsidRPr="00493EC8">
        <w:t>Авезова</w:t>
      </w:r>
      <w:proofErr w:type="spellEnd"/>
      <w:r w:rsidRPr="00493EC8">
        <w:t xml:space="preserve">, В. Беседина // PT </w:t>
      </w:r>
      <w:proofErr w:type="spellStart"/>
      <w:r w:rsidRPr="00493EC8">
        <w:t>Expert</w:t>
      </w:r>
      <w:proofErr w:type="spellEnd"/>
      <w:r w:rsidRPr="00493EC8">
        <w:t xml:space="preserve"> </w:t>
      </w:r>
      <w:proofErr w:type="spellStart"/>
      <w:r w:rsidRPr="00493EC8">
        <w:t>Security</w:t>
      </w:r>
      <w:proofErr w:type="spellEnd"/>
      <w:r w:rsidRPr="00493EC8">
        <w:t>. 2025. — URL: https://ptsecurity.com/research/analytics/cis-cyberthreat-landscape-h2-2024-q3-2025/ (дата обращения: 15.03.2026).</w:t>
      </w:r>
    </w:p>
    <w:p w:rsidR="00493EC8" w:rsidRPr="00493EC8" w:rsidRDefault="00493EC8" w:rsidP="00493EC8">
      <w:pPr>
        <w:pStyle w:val="a0"/>
      </w:pPr>
      <w:r w:rsidRPr="00493EC8">
        <w:t>Федин</w:t>
      </w:r>
      <w:r w:rsidR="003D6770">
        <w:t xml:space="preserve"> Ф.</w:t>
      </w:r>
      <w:r w:rsidRPr="00493EC8">
        <w:t xml:space="preserve">О. Применение самоорганизующихся карт в целях </w:t>
      </w:r>
      <w:proofErr w:type="gramStart"/>
      <w:r w:rsidRPr="00493EC8">
        <w:t>совершенствования системы защиты информации автоматизиров</w:t>
      </w:r>
      <w:r w:rsidR="003D6770">
        <w:t>анной системы</w:t>
      </w:r>
      <w:proofErr w:type="gramEnd"/>
      <w:r w:rsidR="003D6770">
        <w:t xml:space="preserve"> / Ф.О. Федин, И.</w:t>
      </w:r>
      <w:r w:rsidRPr="00493EC8">
        <w:t xml:space="preserve">К. Андреев // Вестник компьютерных и информационных технологий. 2025. </w:t>
      </w:r>
      <w:r w:rsidR="003D6770">
        <w:t>№ </w:t>
      </w:r>
      <w:r w:rsidRPr="00493EC8">
        <w:t>5. С. 41-47. – DOI: 10.14489/vkit.2025.05.pp.041-047.</w:t>
      </w:r>
    </w:p>
    <w:p w:rsidR="00493EC8" w:rsidRPr="00493EC8" w:rsidRDefault="003D6770" w:rsidP="00493EC8">
      <w:pPr>
        <w:pStyle w:val="a0"/>
      </w:pPr>
      <w:proofErr w:type="spellStart"/>
      <w:r>
        <w:rPr>
          <w:lang w:val="en-US"/>
        </w:rPr>
        <w:t>Dacko</w:t>
      </w:r>
      <w:proofErr w:type="spellEnd"/>
      <w:r w:rsidR="00493EC8" w:rsidRPr="00493EC8">
        <w:rPr>
          <w:lang w:val="en-US"/>
        </w:rPr>
        <w:t xml:space="preserve"> S. Discover Your Vulnerabilities before Hackers Do! </w:t>
      </w:r>
      <w:r w:rsidR="00493EC8" w:rsidRPr="00493EC8">
        <w:t xml:space="preserve">[Электронный ресурс] // </w:t>
      </w:r>
      <w:proofErr w:type="spellStart"/>
      <w:r w:rsidR="00493EC8" w:rsidRPr="00493EC8">
        <w:t>Social</w:t>
      </w:r>
      <w:proofErr w:type="spellEnd"/>
      <w:r w:rsidR="00493EC8" w:rsidRPr="00493EC8">
        <w:t xml:space="preserve"> </w:t>
      </w:r>
      <w:proofErr w:type="spellStart"/>
      <w:r w:rsidR="00493EC8" w:rsidRPr="00493EC8">
        <w:t>Engineer</w:t>
      </w:r>
      <w:proofErr w:type="spellEnd"/>
      <w:r w:rsidR="00493EC8" w:rsidRPr="00493EC8">
        <w:t>. 2024. – URL: https://www.social-engineer.com/discover-your-vulnerabilities-before-hackers-do/ (дата обращения: 15.03.2026).</w:t>
      </w:r>
    </w:p>
    <w:p w:rsidR="007A6383" w:rsidRPr="003D6770" w:rsidRDefault="00493EC8" w:rsidP="003D6770">
      <w:pPr>
        <w:pStyle w:val="a0"/>
        <w:rPr>
          <w:lang w:val="en-US"/>
        </w:rPr>
      </w:pPr>
      <w:proofErr w:type="spellStart"/>
      <w:r w:rsidRPr="003D6770">
        <w:rPr>
          <w:lang w:val="en-US"/>
        </w:rPr>
        <w:t>Váczi</w:t>
      </w:r>
      <w:proofErr w:type="spellEnd"/>
      <w:r w:rsidRPr="003D6770">
        <w:rPr>
          <w:lang w:val="en-US"/>
        </w:rPr>
        <w:t xml:space="preserve"> D. Fuzzy-based Cybersecurity Risk Analysis of the Human Factor from the Perspective of Classified Information Leakage / D. </w:t>
      </w:r>
      <w:proofErr w:type="spellStart"/>
      <w:r w:rsidRPr="003D6770">
        <w:rPr>
          <w:lang w:val="en-US"/>
        </w:rPr>
        <w:t>Váczi</w:t>
      </w:r>
      <w:proofErr w:type="spellEnd"/>
      <w:r w:rsidRPr="003D6770">
        <w:rPr>
          <w:lang w:val="en-US"/>
        </w:rPr>
        <w:t xml:space="preserve">, E. </w:t>
      </w:r>
      <w:proofErr w:type="spellStart"/>
      <w:r w:rsidRPr="003D6770">
        <w:rPr>
          <w:lang w:val="en-US"/>
        </w:rPr>
        <w:t>Tóth-Laufer</w:t>
      </w:r>
      <w:proofErr w:type="spellEnd"/>
      <w:r w:rsidRPr="003D6770">
        <w:rPr>
          <w:lang w:val="en-US"/>
        </w:rPr>
        <w:t xml:space="preserve">, T. </w:t>
      </w:r>
      <w:proofErr w:type="spellStart"/>
      <w:r w:rsidRPr="003D6770">
        <w:rPr>
          <w:lang w:val="en-US"/>
        </w:rPr>
        <w:t>Szádeczky</w:t>
      </w:r>
      <w:proofErr w:type="spellEnd"/>
      <w:r w:rsidRPr="003D6770">
        <w:rPr>
          <w:lang w:val="en-US"/>
        </w:rPr>
        <w:t xml:space="preserve"> // 18th IEEE International Symposium on Intelligent Systems and Informatics (SISY). – Subo</w:t>
      </w:r>
      <w:r w:rsidR="002C29CA" w:rsidRPr="003D6770">
        <w:rPr>
          <w:lang w:val="en-US"/>
        </w:rPr>
        <w:t>tica, Serbia</w:t>
      </w:r>
      <w:r w:rsidRPr="003D6770">
        <w:rPr>
          <w:lang w:val="en-US"/>
        </w:rPr>
        <w:t xml:space="preserve">: IEEE, 2020. </w:t>
      </w:r>
      <w:bookmarkStart w:id="0" w:name="_GoBack"/>
      <w:bookmarkEnd w:id="0"/>
      <w:r w:rsidRPr="003D6770">
        <w:rPr>
          <w:lang w:val="en-US"/>
        </w:rPr>
        <w:t>P. 113-118. – DOI: 10.1109/SISY50555.2020.9217053.</w:t>
      </w:r>
    </w:p>
    <w:p w:rsidR="00493EC8" w:rsidRPr="0023111A" w:rsidRDefault="00493EC8" w:rsidP="00562A61">
      <w:pPr>
        <w:pStyle w:val="a0"/>
        <w:numPr>
          <w:ilvl w:val="0"/>
          <w:numId w:val="0"/>
        </w:numPr>
        <w:rPr>
          <w:lang w:val="en-US"/>
        </w:rPr>
        <w:sectPr w:rsidR="00493EC8" w:rsidRPr="0023111A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C64AA" w:rsidRPr="00562A61" w:rsidRDefault="008C64AA" w:rsidP="008C64AA">
      <w:pPr>
        <w:rPr>
          <w:rFonts w:eastAsia="MS Mincho"/>
          <w:lang w:val="en-US"/>
        </w:rPr>
      </w:pPr>
    </w:p>
    <w:sectPr w:rsidR="008C64AA" w:rsidRPr="00562A61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73400"/>
    <w:multiLevelType w:val="hybridMultilevel"/>
    <w:tmpl w:val="0C8E216E"/>
    <w:lvl w:ilvl="0" w:tplc="3164530A">
      <w:numFmt w:val="bullet"/>
      <w:lvlText w:val="•"/>
      <w:lvlJc w:val="left"/>
      <w:pPr>
        <w:ind w:left="64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8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>
    <w:nsid w:val="72951F90"/>
    <w:multiLevelType w:val="hybridMultilevel"/>
    <w:tmpl w:val="F482A5AC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A4C54"/>
    <w:multiLevelType w:val="hybridMultilevel"/>
    <w:tmpl w:val="069852F2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1"/>
  </w:num>
  <w:num w:numId="7">
    <w:abstractNumId w:val="19"/>
  </w:num>
  <w:num w:numId="8">
    <w:abstractNumId w:val="18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1"/>
  </w:num>
  <w:num w:numId="15">
    <w:abstractNumId w:val="19"/>
  </w:num>
  <w:num w:numId="16">
    <w:abstractNumId w:val="18"/>
  </w:num>
  <w:num w:numId="17">
    <w:abstractNumId w:val="11"/>
  </w:num>
  <w:num w:numId="18">
    <w:abstractNumId w:val="10"/>
  </w:num>
  <w:num w:numId="19">
    <w:abstractNumId w:val="12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0"/>
  </w:num>
  <w:num w:numId="33">
    <w:abstractNumId w:val="15"/>
  </w:num>
  <w:num w:numId="34">
    <w:abstractNumId w:val="23"/>
  </w:num>
  <w:num w:numId="35">
    <w:abstractNumId w:val="24"/>
  </w:num>
  <w:num w:numId="36">
    <w:abstractNumId w:val="17"/>
  </w:num>
  <w:num w:numId="37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84C1B"/>
    <w:rsid w:val="000B10B6"/>
    <w:rsid w:val="000B58D4"/>
    <w:rsid w:val="0013123C"/>
    <w:rsid w:val="001D0F52"/>
    <w:rsid w:val="0023111A"/>
    <w:rsid w:val="00252F87"/>
    <w:rsid w:val="002C29CA"/>
    <w:rsid w:val="002D540B"/>
    <w:rsid w:val="003378F6"/>
    <w:rsid w:val="00373376"/>
    <w:rsid w:val="003915FB"/>
    <w:rsid w:val="003C695C"/>
    <w:rsid w:val="003D6770"/>
    <w:rsid w:val="003D785D"/>
    <w:rsid w:val="004165FC"/>
    <w:rsid w:val="00420452"/>
    <w:rsid w:val="0043623E"/>
    <w:rsid w:val="0047652D"/>
    <w:rsid w:val="00493EC8"/>
    <w:rsid w:val="004B14C2"/>
    <w:rsid w:val="004C40DB"/>
    <w:rsid w:val="004D7E92"/>
    <w:rsid w:val="00502710"/>
    <w:rsid w:val="00535924"/>
    <w:rsid w:val="00562A61"/>
    <w:rsid w:val="005630E7"/>
    <w:rsid w:val="005963D0"/>
    <w:rsid w:val="00630DCF"/>
    <w:rsid w:val="006731C5"/>
    <w:rsid w:val="006D605D"/>
    <w:rsid w:val="00711520"/>
    <w:rsid w:val="0071573A"/>
    <w:rsid w:val="007316B2"/>
    <w:rsid w:val="00791CA2"/>
    <w:rsid w:val="007A6383"/>
    <w:rsid w:val="007B6A69"/>
    <w:rsid w:val="0087270B"/>
    <w:rsid w:val="008834FE"/>
    <w:rsid w:val="00885C1F"/>
    <w:rsid w:val="00886861"/>
    <w:rsid w:val="008928BF"/>
    <w:rsid w:val="008C64AA"/>
    <w:rsid w:val="00940220"/>
    <w:rsid w:val="009D0FC5"/>
    <w:rsid w:val="009F446D"/>
    <w:rsid w:val="00A25034"/>
    <w:rsid w:val="00AA1C69"/>
    <w:rsid w:val="00AC08AA"/>
    <w:rsid w:val="00AE6C42"/>
    <w:rsid w:val="00AF069A"/>
    <w:rsid w:val="00B37B45"/>
    <w:rsid w:val="00B77B07"/>
    <w:rsid w:val="00BD2BC3"/>
    <w:rsid w:val="00C10A2B"/>
    <w:rsid w:val="00C903D0"/>
    <w:rsid w:val="00C9188D"/>
    <w:rsid w:val="00CC6D5A"/>
    <w:rsid w:val="00D80951"/>
    <w:rsid w:val="00D85EF4"/>
    <w:rsid w:val="00DA480C"/>
    <w:rsid w:val="00E152C5"/>
    <w:rsid w:val="00EC44A2"/>
    <w:rsid w:val="00F05068"/>
    <w:rsid w:val="00F074EC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3D6770"/>
    <w:pPr>
      <w:spacing w:after="18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4"/>
    <w:uiPriority w:val="20"/>
    <w:qFormat/>
    <w:rsid w:val="000B10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3D6770"/>
    <w:pPr>
      <w:spacing w:after="18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4"/>
    <w:uiPriority w:val="20"/>
    <w:qFormat/>
    <w:rsid w:val="000B1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Функции</a:t>
            </a:r>
            <a:r>
              <a:rPr lang="ru-RU" baseline="0"/>
              <a:t> принадлежности выходной переменной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0.25</c:v>
                </c:pt>
                <c:pt idx="4">
                  <c:v>0.3</c:v>
                </c:pt>
                <c:pt idx="5">
                  <c:v>0.35</c:v>
                </c:pt>
                <c:pt idx="6">
                  <c:v>0.4</c:v>
                </c:pt>
                <c:pt idx="7">
                  <c:v>0.45</c:v>
                </c:pt>
                <c:pt idx="8">
                  <c:v>0.5</c:v>
                </c:pt>
                <c:pt idx="9">
                  <c:v>0.55000000000000004</c:v>
                </c:pt>
                <c:pt idx="10">
                  <c:v>0.6</c:v>
                </c:pt>
                <c:pt idx="11">
                  <c:v>0.65</c:v>
                </c:pt>
                <c:pt idx="12">
                  <c:v>0.7</c:v>
                </c:pt>
                <c:pt idx="13">
                  <c:v>0.75</c:v>
                </c:pt>
                <c:pt idx="14">
                  <c:v>0.8</c:v>
                </c:pt>
                <c:pt idx="15">
                  <c:v>0.9</c:v>
                </c:pt>
                <c:pt idx="16">
                  <c:v>1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0.67</c:v>
                </c:pt>
                <c:pt idx="4">
                  <c:v>0.33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46C-4974-BB6B-8383008364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0.25</c:v>
                </c:pt>
                <c:pt idx="4">
                  <c:v>0.3</c:v>
                </c:pt>
                <c:pt idx="5">
                  <c:v>0.35</c:v>
                </c:pt>
                <c:pt idx="6">
                  <c:v>0.4</c:v>
                </c:pt>
                <c:pt idx="7">
                  <c:v>0.45</c:v>
                </c:pt>
                <c:pt idx="8">
                  <c:v>0.5</c:v>
                </c:pt>
                <c:pt idx="9">
                  <c:v>0.55000000000000004</c:v>
                </c:pt>
                <c:pt idx="10">
                  <c:v>0.6</c:v>
                </c:pt>
                <c:pt idx="11">
                  <c:v>0.65</c:v>
                </c:pt>
                <c:pt idx="12">
                  <c:v>0.7</c:v>
                </c:pt>
                <c:pt idx="13">
                  <c:v>0.75</c:v>
                </c:pt>
                <c:pt idx="14">
                  <c:v>0.8</c:v>
                </c:pt>
                <c:pt idx="15">
                  <c:v>0.9</c:v>
                </c:pt>
                <c:pt idx="16">
                  <c:v>1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0.17</c:v>
                </c:pt>
                <c:pt idx="4">
                  <c:v>0.33</c:v>
                </c:pt>
                <c:pt idx="5">
                  <c:v>0.5</c:v>
                </c:pt>
                <c:pt idx="6">
                  <c:v>0.67</c:v>
                </c:pt>
                <c:pt idx="7">
                  <c:v>0.84</c:v>
                </c:pt>
                <c:pt idx="8">
                  <c:v>1</c:v>
                </c:pt>
                <c:pt idx="9">
                  <c:v>0.84</c:v>
                </c:pt>
                <c:pt idx="10">
                  <c:v>0.67</c:v>
                </c:pt>
                <c:pt idx="11">
                  <c:v>0.5</c:v>
                </c:pt>
                <c:pt idx="12">
                  <c:v>0.33</c:v>
                </c:pt>
                <c:pt idx="13">
                  <c:v>0.17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46C-4974-BB6B-8383008364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0.25</c:v>
                </c:pt>
                <c:pt idx="4">
                  <c:v>0.3</c:v>
                </c:pt>
                <c:pt idx="5">
                  <c:v>0.35</c:v>
                </c:pt>
                <c:pt idx="6">
                  <c:v>0.4</c:v>
                </c:pt>
                <c:pt idx="7">
                  <c:v>0.45</c:v>
                </c:pt>
                <c:pt idx="8">
                  <c:v>0.5</c:v>
                </c:pt>
                <c:pt idx="9">
                  <c:v>0.55000000000000004</c:v>
                </c:pt>
                <c:pt idx="10">
                  <c:v>0.6</c:v>
                </c:pt>
                <c:pt idx="11">
                  <c:v>0.65</c:v>
                </c:pt>
                <c:pt idx="12">
                  <c:v>0.7</c:v>
                </c:pt>
                <c:pt idx="13">
                  <c:v>0.75</c:v>
                </c:pt>
                <c:pt idx="14">
                  <c:v>0.8</c:v>
                </c:pt>
                <c:pt idx="15">
                  <c:v>0.9</c:v>
                </c:pt>
                <c:pt idx="16">
                  <c:v>1</c:v>
                </c:pt>
              </c:numCache>
            </c:num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0.33</c:v>
                </c:pt>
                <c:pt idx="13">
                  <c:v>0.67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46C-4974-BB6B-8383008364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1651968"/>
        <c:axId val="231653760"/>
      </c:lineChart>
      <c:catAx>
        <c:axId val="23165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653760"/>
        <c:crosses val="autoZero"/>
        <c:auto val="1"/>
        <c:lblAlgn val="ctr"/>
        <c:lblOffset val="100"/>
        <c:noMultiLvlLbl val="0"/>
      </c:catAx>
      <c:valAx>
        <c:axId val="23165376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65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cp:lastPrinted>2026-03-15T16:11:00Z</cp:lastPrinted>
  <dcterms:created xsi:type="dcterms:W3CDTF">2026-04-01T11:50:00Z</dcterms:created>
  <dcterms:modified xsi:type="dcterms:W3CDTF">2026-04-01T11:50:00Z</dcterms:modified>
</cp:coreProperties>
</file>