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525B" w14:textId="576AD0EC" w:rsidR="00D80951" w:rsidRPr="00842BC2" w:rsidRDefault="00CD1CD9" w:rsidP="00B77B07">
      <w:pPr>
        <w:pStyle w:val="a7"/>
        <w:rPr>
          <w:rFonts w:cs="Times New Roman"/>
        </w:rPr>
      </w:pPr>
      <w:r w:rsidRPr="00842BC2">
        <w:rPr>
          <w:rFonts w:cs="Times New Roman"/>
        </w:rPr>
        <w:t>Оценка близости к помпажу компрессора судового турбонаддува: виртуальный датчик с количественной оценкой неопределённости</w:t>
      </w:r>
    </w:p>
    <w:p w14:paraId="034F4661" w14:textId="77777777" w:rsidR="00D80951" w:rsidRPr="00842BC2" w:rsidRDefault="00D80951" w:rsidP="00D80951">
      <w:pPr>
        <w:sectPr w:rsidR="00D80951" w:rsidRPr="00842BC2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34B9823" w14:textId="546F89A9" w:rsidR="00D80951" w:rsidRPr="00FE1F51" w:rsidRDefault="00F05068" w:rsidP="00FE1F51">
      <w:pPr>
        <w:pStyle w:val="aa"/>
      </w:pPr>
      <w:r w:rsidRPr="00FE1F51">
        <w:lastRenderedPageBreak/>
        <w:t xml:space="preserve">А. </w:t>
      </w:r>
      <w:r w:rsidR="0017107E" w:rsidRPr="00FE1F51">
        <w:t>С</w:t>
      </w:r>
      <w:r w:rsidRPr="00FE1F51">
        <w:t xml:space="preserve">. </w:t>
      </w:r>
      <w:proofErr w:type="spellStart"/>
      <w:r w:rsidR="0017107E" w:rsidRPr="00FE1F51">
        <w:t>Хатрусов</w:t>
      </w:r>
      <w:proofErr w:type="spellEnd"/>
    </w:p>
    <w:p w14:paraId="5618203A" w14:textId="2B32D56B" w:rsidR="0013123C" w:rsidRPr="00842BC2" w:rsidRDefault="0017107E" w:rsidP="0017107E">
      <w:pPr>
        <w:pStyle w:val="ab"/>
        <w:spacing w:before="120"/>
      </w:pPr>
      <w:r w:rsidRPr="00842BC2">
        <w:t>Санкт-Петербургский горный университет императрицы Екатерины II</w:t>
      </w:r>
    </w:p>
    <w:p w14:paraId="677CF7DA" w14:textId="6E6444C4" w:rsidR="00FE1F51" w:rsidRPr="00FE1F51" w:rsidRDefault="00FE1F51" w:rsidP="00FE1F51">
      <w:pPr>
        <w:pStyle w:val="ac"/>
      </w:pPr>
      <w:hyperlink r:id="rId7" w:history="1">
        <w:r w:rsidRPr="00FE1F51">
          <w:rPr>
            <w:rStyle w:val="af4"/>
            <w:color w:val="auto"/>
            <w:u w:val="none"/>
          </w:rPr>
          <w:t>me@hatrusov.ru</w:t>
        </w:r>
      </w:hyperlink>
    </w:p>
    <w:p w14:paraId="0EA9B0E8" w14:textId="403D6114" w:rsidR="00CD1CD9" w:rsidRPr="00842BC2" w:rsidRDefault="009F446D" w:rsidP="00FE1F51">
      <w:pPr>
        <w:pStyle w:val="aa"/>
      </w:pPr>
      <w:r w:rsidRPr="00842BC2">
        <w:br w:type="column"/>
      </w:r>
      <w:r w:rsidR="00CD1CD9" w:rsidRPr="00842BC2">
        <w:lastRenderedPageBreak/>
        <w:t xml:space="preserve">А. </w:t>
      </w:r>
      <w:r w:rsidR="0017107E" w:rsidRPr="00842BC2">
        <w:t>Р</w:t>
      </w:r>
      <w:r w:rsidR="00CD1CD9" w:rsidRPr="00842BC2">
        <w:t xml:space="preserve">. </w:t>
      </w:r>
      <w:r w:rsidR="0017107E" w:rsidRPr="00842BC2">
        <w:t>Шарифуллина</w:t>
      </w:r>
    </w:p>
    <w:p w14:paraId="1EF468CF" w14:textId="5E537F7F" w:rsidR="00CD1CD9" w:rsidRPr="00842BC2" w:rsidRDefault="0017107E" w:rsidP="0017107E">
      <w:pPr>
        <w:pStyle w:val="ab"/>
        <w:spacing w:before="120"/>
      </w:pPr>
      <w:r w:rsidRPr="00842BC2">
        <w:t>Санкт-Петербургский горный университет императрицы Екатерины II</w:t>
      </w:r>
    </w:p>
    <w:p w14:paraId="17AF10F0" w14:textId="1876D33D" w:rsidR="00FE1F51" w:rsidRPr="00FE1F51" w:rsidRDefault="00FE1F51" w:rsidP="00FE1F51">
      <w:pPr>
        <w:pStyle w:val="ac"/>
      </w:pPr>
      <w:hyperlink r:id="rId8" w:history="1">
        <w:r w:rsidRPr="00FE1F51">
          <w:rPr>
            <w:rStyle w:val="af4"/>
            <w:color w:val="auto"/>
            <w:u w:val="none"/>
          </w:rPr>
          <w:t>aliiyqxx@gmail.com</w:t>
        </w:r>
      </w:hyperlink>
    </w:p>
    <w:p w14:paraId="4FEC08AA" w14:textId="322972B9" w:rsidR="00CD1CD9" w:rsidRPr="00842BC2" w:rsidRDefault="00CD1CD9" w:rsidP="00FE1F51">
      <w:pPr>
        <w:pStyle w:val="aa"/>
      </w:pPr>
      <w:r w:rsidRPr="00842BC2">
        <w:br w:type="column"/>
      </w:r>
      <w:r w:rsidR="0017107E" w:rsidRPr="00842BC2">
        <w:lastRenderedPageBreak/>
        <w:t>В</w:t>
      </w:r>
      <w:r w:rsidRPr="00842BC2">
        <w:t xml:space="preserve">. </w:t>
      </w:r>
      <w:r w:rsidR="0017107E" w:rsidRPr="00842BC2">
        <w:t>Е</w:t>
      </w:r>
      <w:r w:rsidRPr="00842BC2">
        <w:t xml:space="preserve">. </w:t>
      </w:r>
      <w:r w:rsidR="0017107E" w:rsidRPr="00842BC2">
        <w:t>Трушников</w:t>
      </w:r>
    </w:p>
    <w:p w14:paraId="2D15353B" w14:textId="1EA161B3" w:rsidR="00CD1CD9" w:rsidRPr="00842BC2" w:rsidRDefault="0017107E" w:rsidP="0017107E">
      <w:pPr>
        <w:pStyle w:val="ab"/>
        <w:spacing w:before="120"/>
      </w:pPr>
      <w:r w:rsidRPr="00842BC2">
        <w:t>Санкт-Петербургский горный университет императрицы Екатерины II</w:t>
      </w:r>
    </w:p>
    <w:p w14:paraId="21A7D940" w14:textId="4E9B860F" w:rsidR="00CD1CD9" w:rsidRPr="00842BC2" w:rsidRDefault="0017107E" w:rsidP="0017107E">
      <w:pPr>
        <w:pStyle w:val="ac"/>
        <w:spacing w:before="120"/>
        <w:rPr>
          <w:lang w:val="ru-RU"/>
        </w:rPr>
      </w:pPr>
      <w:r w:rsidRPr="00842BC2">
        <w:rPr>
          <w:lang w:val="ru-RU"/>
        </w:rPr>
        <w:t>Trushnikov_VE@pers.spmi.ru</w:t>
      </w:r>
    </w:p>
    <w:p w14:paraId="3F46244C" w14:textId="77777777" w:rsidR="00CD1CD9" w:rsidRPr="00842BC2" w:rsidRDefault="00CD1CD9" w:rsidP="00CD1CD9">
      <w:pPr>
        <w:pStyle w:val="ab"/>
        <w:sectPr w:rsidR="00CD1CD9" w:rsidRPr="00842BC2" w:rsidSect="00CD1CD9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14:paraId="141129EF" w14:textId="77777777" w:rsidR="00CD1CD9" w:rsidRPr="00842BC2" w:rsidRDefault="00CD1CD9" w:rsidP="009F446D">
      <w:pPr>
        <w:jc w:val="center"/>
      </w:pPr>
    </w:p>
    <w:p w14:paraId="6361EC88" w14:textId="77777777" w:rsidR="0013123C" w:rsidRPr="00842BC2" w:rsidRDefault="0013123C" w:rsidP="009F446D">
      <w:pPr>
        <w:jc w:val="center"/>
        <w:sectPr w:rsidR="0013123C" w:rsidRPr="00842BC2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EBC0C01" w14:textId="7DA62B5A" w:rsidR="0013123C" w:rsidRPr="00842BC2" w:rsidRDefault="0013123C" w:rsidP="00A51489">
      <w:pPr>
        <w:pStyle w:val="ad"/>
        <w:rPr>
          <w:rFonts w:eastAsia="MS Mincho"/>
        </w:rPr>
      </w:pPr>
      <w:r w:rsidRPr="00842BC2">
        <w:rPr>
          <w:i/>
        </w:rPr>
        <w:lastRenderedPageBreak/>
        <w:t xml:space="preserve">Аннотация. </w:t>
      </w:r>
      <w:r w:rsidR="00F720B1" w:rsidRPr="00842BC2">
        <w:rPr>
          <w:rFonts w:eastAsia="MS Mincho"/>
        </w:rPr>
        <w:t>Прямое бортовое измерение запаса до помпажа компрессора судового турбонаддува обычно отсутствует, хотя сам помпаж критичен для надёжности и безопасности установки. Для оценки близости к помпажной границе использован нормированный индекс, восстанавливаемый по ограниченному набору штатных сигналов. Разработан виртуальный датчик, формирующий точечную оценку индекса и интервал неопределённости. Метод проверен для трёх пакетов сигналов при номинальной работе, смещении рабочей точки и пропусках измерений. В расчётную схему вошли контроль качества данных, формирование признаков и уточняющая модель</w:t>
      </w:r>
      <w:r w:rsidR="00A51489" w:rsidRPr="00842BC2">
        <w:rPr>
          <w:rFonts w:eastAsia="MS Mincho"/>
        </w:rPr>
        <w:t>.</w:t>
      </w:r>
    </w:p>
    <w:p w14:paraId="4F25481F" w14:textId="0D03BC4C" w:rsidR="0013123C" w:rsidRPr="00842BC2" w:rsidRDefault="0013123C" w:rsidP="0013123C">
      <w:pPr>
        <w:pStyle w:val="ae"/>
      </w:pPr>
      <w:r w:rsidRPr="00842BC2">
        <w:t xml:space="preserve">Ключевые слова: </w:t>
      </w:r>
      <w:r w:rsidR="00C44EA8" w:rsidRPr="00842BC2">
        <w:rPr>
          <w:rFonts w:eastAsia="MS Mincho"/>
        </w:rPr>
        <w:t xml:space="preserve">виртуальный датчик; косвенное измерение; </w:t>
      </w:r>
      <w:r w:rsidR="00A51489" w:rsidRPr="00842BC2">
        <w:rPr>
          <w:rFonts w:eastAsia="MS Mincho"/>
        </w:rPr>
        <w:t>диагностический признак; штатная телеметрия; контроль качества данных; режимный сдвиг</w:t>
      </w:r>
    </w:p>
    <w:p w14:paraId="644CAB38" w14:textId="50941566" w:rsidR="0013123C" w:rsidRPr="00842BC2" w:rsidRDefault="009946AA" w:rsidP="0013123C">
      <w:pPr>
        <w:pStyle w:val="1"/>
      </w:pPr>
      <w:r w:rsidRPr="00842BC2">
        <w:rPr>
          <w:lang w:val="en-US"/>
        </w:rPr>
        <w:t>Введение</w:t>
      </w:r>
    </w:p>
    <w:p w14:paraId="148B944E" w14:textId="786353AF" w:rsidR="00374BB0" w:rsidRPr="00842BC2" w:rsidRDefault="00374BB0" w:rsidP="00374BB0">
      <w:pPr>
        <w:pStyle w:val="a3"/>
      </w:pPr>
      <w:r w:rsidRPr="00842BC2">
        <w:t>Работа компрессора судового турбонаддува определяется нагрузкой двигателя и внешними условиями. Для схожих объектов [1–3] всё шире применяются методы цифрового мониторинга, математического моделирования и интеллектуальной обработки данных, позволяющие восстанавливать состояние сложных технических систем по измеряемым параметрам. Аналогичный подход используется и в задачах управления технологическими процессами, где по совокупности доступных сигналов оценивают текущее состояние объекта и уточняют режим его работы [4–6].</w:t>
      </w:r>
    </w:p>
    <w:p w14:paraId="49C5378C" w14:textId="3F918BF0" w:rsidR="00374BB0" w:rsidRPr="00842BC2" w:rsidRDefault="00374BB0" w:rsidP="00374BB0">
      <w:pPr>
        <w:pStyle w:val="a3"/>
      </w:pPr>
      <w:r w:rsidRPr="00842BC2">
        <w:t xml:space="preserve">Для центробежного компрессора одной из опасных проблем является помпаж. Он сопровождается потерей устойчивости течения при малых расходах, колебаниями давления, ростом динамических нагрузок и высоким риском повреждения элементов турбокомпрессора. В работах [7–9] </w:t>
      </w:r>
      <w:r w:rsidR="000D277F" w:rsidRPr="00842BC2">
        <w:t xml:space="preserve">высокое </w:t>
      </w:r>
      <w:r w:rsidRPr="00842BC2">
        <w:t>значение имеют задачи раннего выявления неблагоприятных режимов и контроля технического состояния энергетических и инфраструктурных объектов. При этом положение границы устойчивой работы определяется не только характеристиками самой ступени, но и динамикой системы в целом [10–12].</w:t>
      </w:r>
    </w:p>
    <w:p w14:paraId="2DF0CD14" w14:textId="57A33EFD" w:rsidR="00374BB0" w:rsidRPr="00842BC2" w:rsidRDefault="00374BB0" w:rsidP="00374BB0">
      <w:pPr>
        <w:pStyle w:val="a3"/>
      </w:pPr>
      <w:r w:rsidRPr="00842BC2">
        <w:t>При оценке приближения к опасному режиму важно учитывать не только локальные параметры, но и общий режим функционирования установки, влияние внешних условий и ограничения среды</w:t>
      </w:r>
      <w:r w:rsidR="000D277F" w:rsidRPr="00842BC2">
        <w:t xml:space="preserve"> </w:t>
      </w:r>
      <w:r w:rsidRPr="00842BC2">
        <w:t xml:space="preserve">[13–15]. </w:t>
      </w:r>
      <w:r w:rsidR="000D277F" w:rsidRPr="00842BC2">
        <w:t>Такая</w:t>
      </w:r>
      <w:r w:rsidRPr="00842BC2">
        <w:t xml:space="preserve"> логика прослеживается и в задачах, связанных с управлением </w:t>
      </w:r>
      <w:r w:rsidRPr="00842BC2">
        <w:lastRenderedPageBreak/>
        <w:t>качеством среды, подземными водами и эксплуатацией природных систем [16–18].</w:t>
      </w:r>
    </w:p>
    <w:p w14:paraId="5D565DEE" w14:textId="0A6378CA" w:rsidR="000D277F" w:rsidRPr="00842BC2" w:rsidRDefault="00374BB0" w:rsidP="00374BB0">
      <w:pPr>
        <w:pStyle w:val="a3"/>
      </w:pPr>
      <w:r w:rsidRPr="00842BC2">
        <w:t>В штатной судовой эксплуатации прямое измерение запаса до помпажной границы, как правило, отсутствует, поэтому практический интерес представляет его косвенная оценка по ограниченному набору бортовых сигналов</w:t>
      </w:r>
      <w:r w:rsidRPr="00FE1F51">
        <w:t xml:space="preserve">. </w:t>
      </w:r>
      <w:r w:rsidR="000D277F" w:rsidRPr="00FE1F51">
        <w:t>В работе под виртуальным датчиком понимается программно-математический канал косвенного измерения, который по доступным телеметрическим сигналам оценивает величину, не измеряемую непосредственно физическим датчиком. В рассматриваемой задаче такой величиной является нормированный индекс близости компрессора судового турбонаддува к помпажной границе.</w:t>
      </w:r>
      <w:r w:rsidR="000D277F" w:rsidRPr="00842BC2">
        <w:t xml:space="preserve"> </w:t>
      </w:r>
    </w:p>
    <w:p w14:paraId="09F83C3B" w14:textId="6B274A32" w:rsidR="00374BB0" w:rsidRPr="00842BC2" w:rsidRDefault="00374BB0" w:rsidP="00374BB0">
      <w:pPr>
        <w:pStyle w:val="a3"/>
      </w:pPr>
      <w:r w:rsidRPr="00842BC2">
        <w:t>Переход от прямого наблюдения к расчётным индикаторам и модельным оценкам соответствует более широкой инженерной тенденции, проявляющейся в задачах цифровой трансформации, оценки устойчивости промышленных систем, повышения нефтеотдачи и анализа транспортно-энергетических процессов [19–22]. Необходимость учитывать влияние внешней среды и неопределённости постановки задачи подтверждается и исследованиями, в которых рассматривается воздействие внешних факторов на сложные экономико-технологические системы [23].</w:t>
      </w:r>
    </w:p>
    <w:p w14:paraId="132B4D3F" w14:textId="5684CBF6" w:rsidR="00374BB0" w:rsidRPr="00FE1F51" w:rsidRDefault="00374BB0" w:rsidP="00374BB0">
      <w:pPr>
        <w:pStyle w:val="a3"/>
      </w:pPr>
      <w:r w:rsidRPr="00FE1F51">
        <w:t>Одной точечной оценки с помощью такого виртуального датчика для предупреждения опасных режимов, как правило, недостаточно.</w:t>
      </w:r>
      <w:r w:rsidR="000D277F" w:rsidRPr="00FE1F51">
        <w:t xml:space="preserve"> Точность точечной оценки определяется по отклонению расчётного индекса от эталонного или заданного в вычислительном эксперименте значения, тогда как интервальная оценка неопределённости характеризует диапазон возможных значений индекса при принятой схеме калибровки. </w:t>
      </w:r>
      <w:r w:rsidRPr="00FE1F51">
        <w:t xml:space="preserve">В условиях эксплуатации возможны режимные сдвиги, пропуски измерений и изменение информативности отдельных каналов, поэтому наряду с точечной оценкой целесообразно использовать интервальную оценку. </w:t>
      </w:r>
      <w:r w:rsidR="000D277F" w:rsidRPr="00FE1F51">
        <w:t>Т</w:t>
      </w:r>
      <w:r w:rsidRPr="00FE1F51">
        <w:t>акая постановка согласуется с работами</w:t>
      </w:r>
      <w:r w:rsidR="000D277F" w:rsidRPr="00FE1F51">
        <w:t xml:space="preserve"> [24–30]</w:t>
      </w:r>
      <w:r w:rsidRPr="00FE1F51">
        <w:t>, где качество модели определяется её устойчивостью к изменению состава сырья, условий процесса и структуры входных данных.</w:t>
      </w:r>
    </w:p>
    <w:p w14:paraId="435478DB" w14:textId="6823A18C" w:rsidR="003016AB" w:rsidRPr="00842BC2" w:rsidRDefault="00374BB0" w:rsidP="000D277F">
      <w:pPr>
        <w:pStyle w:val="a3"/>
      </w:pPr>
      <w:r w:rsidRPr="00FE1F51">
        <w:t xml:space="preserve">Целью исследования является разработка виртуального датчика близости к помпажу компрессора судового турбонаддува, </w:t>
      </w:r>
      <w:r w:rsidR="000D277F" w:rsidRPr="00FE1F51">
        <w:t xml:space="preserve">который по ограниченным телеметрическим данным формирует точечную оценку нормированного индекса близости к помпажной границе </w:t>
      </w:r>
      <w:r w:rsidR="000D277F" w:rsidRPr="00FE1F51">
        <w:lastRenderedPageBreak/>
        <w:t>и калиброванный интервал возможных значений этого индекса. Из-за отсутствия экспериментальных данных судового двигателя исследование проведено в форме сценарного эксперимента на синтетических данных.</w:t>
      </w:r>
    </w:p>
    <w:p w14:paraId="43E97532" w14:textId="646E731C" w:rsidR="0017107E" w:rsidRPr="00842BC2" w:rsidRDefault="004D18D5" w:rsidP="0017107E">
      <w:pPr>
        <w:pStyle w:val="1"/>
      </w:pPr>
      <w:r w:rsidRPr="00842BC2">
        <w:t>Методология</w:t>
      </w:r>
    </w:p>
    <w:p w14:paraId="0CD48FE1" w14:textId="4D659034" w:rsidR="00DA17EA" w:rsidRPr="00842BC2" w:rsidRDefault="004D18D5" w:rsidP="00DA17EA">
      <w:pPr>
        <w:pStyle w:val="2"/>
      </w:pPr>
      <w:r w:rsidRPr="00842BC2">
        <w:t>Постановка задачи</w:t>
      </w:r>
    </w:p>
    <w:p w14:paraId="457BCB07" w14:textId="3DD7D52E" w:rsidR="00F23F01" w:rsidRPr="00842BC2" w:rsidRDefault="009D5069" w:rsidP="00F720B1">
      <w:pPr>
        <w:pStyle w:val="a3"/>
      </w:pPr>
      <w:r w:rsidRPr="00842BC2">
        <w:t>В работе ц</w:t>
      </w:r>
      <w:r w:rsidR="00F720B1" w:rsidRPr="00842BC2">
        <w:t xml:space="preserve">елевой величиной </w:t>
      </w:r>
      <w:r w:rsidRPr="00842BC2">
        <w:t xml:space="preserve">был принят </w:t>
      </w:r>
      <w:r w:rsidR="00F720B1" w:rsidRPr="00842BC2">
        <w:t xml:space="preserve">нормированный индекс близости к помпажу </w:t>
      </w:r>
      <m:oMath>
        <m:r>
          <m:rPr>
            <m:nor/>
          </m:rPr>
          <w:rPr>
            <w:iCs/>
          </w:rPr>
          <m:t xml:space="preserve">y </m:t>
        </m:r>
        <m:r>
          <m:rPr>
            <m:nor/>
          </m:rPr>
          <w:rPr>
            <w:rFonts w:ascii="Cambria Math" w:hAnsi="Cambria Math" w:cs="Cambria Math"/>
          </w:rPr>
          <m:t>∈</m:t>
        </m:r>
        <m:r>
          <m:rPr>
            <m:nor/>
          </m:rPr>
          <m:t xml:space="preserve"> [0;1]</m:t>
        </m:r>
      </m:oMath>
      <w:r w:rsidR="00F720B1" w:rsidRPr="00842BC2">
        <w:t xml:space="preserve">: значения </w:t>
      </w:r>
      <m:oMath>
        <m:r>
          <m:rPr>
            <m:nor/>
          </m:rPr>
          <w:rPr>
            <w:iCs/>
          </w:rPr>
          <m:t xml:space="preserve">y </m:t>
        </m:r>
        <m:r>
          <m:rPr>
            <m:nor/>
          </m:rPr>
          <m:t>≈ 0</m:t>
        </m:r>
      </m:oMath>
      <w:r w:rsidR="00602F5E" w:rsidRPr="00842BC2">
        <w:t xml:space="preserve"> </w:t>
      </w:r>
      <w:r w:rsidR="00B15E8A" w:rsidRPr="00842BC2">
        <w:t>с</w:t>
      </w:r>
      <w:r w:rsidR="00F720B1" w:rsidRPr="00842BC2">
        <w:t>оответств</w:t>
      </w:r>
      <w:r w:rsidRPr="00842BC2">
        <w:t>у</w:t>
      </w:r>
      <w:r w:rsidR="00BB667A" w:rsidRPr="00842BC2">
        <w:t>ю</w:t>
      </w:r>
      <w:r w:rsidRPr="00842BC2">
        <w:t>т</w:t>
      </w:r>
      <w:r w:rsidR="00F720B1" w:rsidRPr="00842BC2">
        <w:t xml:space="preserve"> безопасной области, а </w:t>
      </w:r>
      <m:oMath>
        <m:r>
          <m:rPr>
            <m:nor/>
          </m:rPr>
          <w:rPr>
            <w:iCs/>
          </w:rPr>
          <m:t xml:space="preserve">y </m:t>
        </m:r>
        <m:r>
          <m:rPr>
            <m:nor/>
          </m:rPr>
          <m:t>≈ 1</m:t>
        </m:r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>состояни</w:t>
      </w:r>
      <w:r w:rsidRPr="00842BC2">
        <w:t>ю</w:t>
      </w:r>
      <w:r w:rsidR="00F720B1" w:rsidRPr="00842BC2">
        <w:t>, близк</w:t>
      </w:r>
      <w:r w:rsidRPr="00842BC2">
        <w:t>ом</w:t>
      </w:r>
      <w:r w:rsidR="00BB667A" w:rsidRPr="00842BC2">
        <w:t>у</w:t>
      </w:r>
      <w:r w:rsidR="00F720B1" w:rsidRPr="00842BC2">
        <w:t xml:space="preserve"> к помпажной границе. В </w:t>
      </w:r>
      <w:r w:rsidR="003D5558" w:rsidRPr="00842BC2">
        <w:t xml:space="preserve">эксперименте </w:t>
      </w:r>
      <w:r w:rsidR="00F720B1" w:rsidRPr="00842BC2">
        <w:t xml:space="preserve"> этот индекс задавался по синтетической карте компрессора, </w:t>
      </w:r>
      <w:r w:rsidR="003D5558" w:rsidRPr="00842BC2">
        <w:t>затем</w:t>
      </w:r>
      <w:r w:rsidR="00F720B1" w:rsidRPr="00842BC2">
        <w:t xml:space="preserve"> оценивался только по доступным измерениям.</w:t>
      </w:r>
      <w:r w:rsidR="003D5558" w:rsidRPr="00842BC2">
        <w:t xml:space="preserve"> Далее в работе и</w:t>
      </w:r>
      <w:r w:rsidR="00F720B1" w:rsidRPr="00842BC2">
        <w:t xml:space="preserve">спользованы следующие обозначения: </w:t>
      </w:r>
      <m:oMath>
        <m:r>
          <m:rPr>
            <m:nor/>
          </m:rPr>
          <w:rPr>
            <w:iCs/>
          </w:rPr>
          <m:t>L</m:t>
        </m:r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относительная нагрузка двигателя;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u</m:t>
            </m:r>
          </m:e>
          <m:sub>
            <m:r>
              <m:rPr>
                <m:nor/>
              </m:rPr>
              <w:rPr>
                <w:iCs/>
              </w:rPr>
              <m:t>f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условный индекс подачи топлива;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sr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давление воздуха в продувочном ресивере;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T</m:t>
            </m:r>
          </m:e>
          <m:sub>
            <m:r>
              <m:rPr>
                <m:nor/>
              </m:rPr>
              <w:rPr>
                <w:iCs/>
              </w:rPr>
              <m:t>sr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температура воздуха в продувочном ресивере;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T</m:t>
            </m:r>
          </m:e>
          <m:sub>
            <m:r>
              <m:rPr>
                <m:nor/>
              </m:rPr>
              <w:rPr>
                <w:iCs/>
              </w:rPr>
              <m:t>exh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температура выпускных газов перед турбиной;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a</m:t>
            </m:r>
          </m:sub>
        </m:sSub>
      </m:oMath>
      <w:r w:rsidR="00786266" w:rsidRPr="00842BC2">
        <w:t xml:space="preserve"> </w:t>
      </w:r>
      <w:r w:rsidR="00F720B1" w:rsidRPr="00842BC2"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T</m:t>
            </m:r>
          </m:e>
          <m:sub>
            <m:r>
              <m:rPr>
                <m:nor/>
              </m:rPr>
              <w:rPr>
                <w:iCs/>
              </w:rPr>
              <m:t>a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давление и температура окружающей среды;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n</m:t>
            </m:r>
          </m:e>
          <m:sub>
            <m:r>
              <m:rPr>
                <m:nor/>
              </m:rPr>
              <w:rPr>
                <w:iCs/>
              </w:rPr>
              <m:t>tc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 xml:space="preserve">частота вращения турбокомпрессора;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ci</m:t>
            </m:r>
          </m:sub>
        </m:sSub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>давление на входе компрессора. Состав сравниваемых пакетов сигналов</w:t>
      </w:r>
      <w:r w:rsidR="003D5558" w:rsidRPr="00842BC2">
        <w:t xml:space="preserve"> и их назначение</w:t>
      </w:r>
      <w:r w:rsidR="00F720B1" w:rsidRPr="00842BC2">
        <w:t xml:space="preserve"> привед</w:t>
      </w:r>
      <w:r w:rsidR="003D5558" w:rsidRPr="00842BC2">
        <w:t xml:space="preserve">ены </w:t>
      </w:r>
      <w:r w:rsidR="00F720B1" w:rsidRPr="00842BC2">
        <w:t>в табл. 1</w:t>
      </w:r>
      <w:r w:rsidR="00904AB6" w:rsidRPr="00842BC2">
        <w:t>.</w:t>
      </w:r>
    </w:p>
    <w:p w14:paraId="0DB1C2BA" w14:textId="56C6EF5F" w:rsidR="00891520" w:rsidRPr="00842BC2" w:rsidRDefault="009946AA" w:rsidP="00891520">
      <w:pPr>
        <w:pStyle w:val="a1"/>
      </w:pPr>
      <w:r w:rsidRPr="00842BC2">
        <w:t>Сравниваемые пакеты сигналов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744"/>
        <w:gridCol w:w="1835"/>
        <w:gridCol w:w="2297"/>
      </w:tblGrid>
      <w:tr w:rsidR="00891520" w:rsidRPr="00842BC2" w14:paraId="6D18B687" w14:textId="77777777" w:rsidTr="00FE1F51">
        <w:trPr>
          <w:jc w:val="center"/>
        </w:trPr>
        <w:tc>
          <w:tcPr>
            <w:tcW w:w="719" w:type="dxa"/>
            <w:vAlign w:val="center"/>
          </w:tcPr>
          <w:p w14:paraId="778816A2" w14:textId="6D662609" w:rsidR="00891520" w:rsidRPr="00842BC2" w:rsidRDefault="00891520" w:rsidP="00891520">
            <w:pPr>
              <w:pStyle w:val="af1"/>
              <w:rPr>
                <w:b/>
                <w:bCs/>
              </w:rPr>
            </w:pPr>
            <w:r w:rsidRPr="00842BC2">
              <w:rPr>
                <w:b/>
                <w:bCs/>
                <w:sz w:val="18"/>
                <w:szCs w:val="18"/>
              </w:rPr>
              <w:t>Пакет</w:t>
            </w:r>
          </w:p>
        </w:tc>
        <w:tc>
          <w:tcPr>
            <w:tcW w:w="1732" w:type="dxa"/>
            <w:vAlign w:val="center"/>
          </w:tcPr>
          <w:p w14:paraId="3AD9467A" w14:textId="02CE2454" w:rsidR="00891520" w:rsidRPr="00842BC2" w:rsidRDefault="00891520" w:rsidP="00891520">
            <w:pPr>
              <w:pStyle w:val="af1"/>
              <w:rPr>
                <w:b/>
                <w:bCs/>
              </w:rPr>
            </w:pPr>
            <w:r w:rsidRPr="00842BC2">
              <w:rPr>
                <w:b/>
                <w:bCs/>
                <w:sz w:val="18"/>
                <w:szCs w:val="18"/>
              </w:rPr>
              <w:t>Состав сигналов</w:t>
            </w:r>
          </w:p>
        </w:tc>
        <w:tc>
          <w:tcPr>
            <w:tcW w:w="2222" w:type="dxa"/>
            <w:vAlign w:val="center"/>
          </w:tcPr>
          <w:p w14:paraId="3C719973" w14:textId="39546423" w:rsidR="00891520" w:rsidRPr="00842BC2" w:rsidRDefault="00891520" w:rsidP="00891520">
            <w:pPr>
              <w:pStyle w:val="af1"/>
              <w:rPr>
                <w:b/>
                <w:bCs/>
              </w:rPr>
            </w:pPr>
            <w:r w:rsidRPr="00842BC2">
              <w:rPr>
                <w:b/>
                <w:bCs/>
                <w:sz w:val="18"/>
                <w:szCs w:val="18"/>
              </w:rPr>
              <w:t>Назначение</w:t>
            </w:r>
          </w:p>
        </w:tc>
      </w:tr>
      <w:tr w:rsidR="00891520" w:rsidRPr="00842BC2" w14:paraId="1D095941" w14:textId="77777777" w:rsidTr="00FE1F51">
        <w:trPr>
          <w:jc w:val="center"/>
        </w:trPr>
        <w:tc>
          <w:tcPr>
            <w:tcW w:w="719" w:type="dxa"/>
            <w:vAlign w:val="center"/>
          </w:tcPr>
          <w:p w14:paraId="681F4C81" w14:textId="0B86E158" w:rsidR="00891520" w:rsidRPr="00842BC2" w:rsidRDefault="00891520" w:rsidP="00891520">
            <w:pPr>
              <w:pStyle w:val="af1"/>
            </w:pPr>
            <w:r w:rsidRPr="00842BC2">
              <w:rPr>
                <w:sz w:val="18"/>
                <w:szCs w:val="18"/>
              </w:rPr>
              <w:t>S0</w:t>
            </w:r>
          </w:p>
        </w:tc>
        <w:tc>
          <w:tcPr>
            <w:tcW w:w="1732" w:type="dxa"/>
            <w:vAlign w:val="center"/>
          </w:tcPr>
          <w:p w14:paraId="13C6ED9F" w14:textId="7928F26B" w:rsidR="00891520" w:rsidRPr="00842BC2" w:rsidRDefault="00B87526" w:rsidP="00891520">
            <w:pPr>
              <w:pStyle w:val="af1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L,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f</m:t>
                    </m:r>
                  </m:sub>
                </m:sSub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sr</m:t>
                    </m:r>
                  </m:sub>
                </m:sSub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sr</m:t>
                    </m:r>
                  </m:sub>
                </m:sSub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exh</m:t>
                    </m:r>
                  </m:sub>
                </m:sSub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sz w:val="18"/>
                    <w:szCs w:val="1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222" w:type="dxa"/>
            <w:vAlign w:val="center"/>
          </w:tcPr>
          <w:p w14:paraId="5196B0CC" w14:textId="1B838032" w:rsidR="00891520" w:rsidRPr="00842BC2" w:rsidRDefault="00C44EA8" w:rsidP="00891520">
            <w:pPr>
              <w:pStyle w:val="af1"/>
            </w:pPr>
            <w:r w:rsidRPr="00842BC2">
              <w:rPr>
                <w:sz w:val="18"/>
                <w:szCs w:val="18"/>
              </w:rPr>
              <w:t>Базовая косвенная оценка по штатной телеметрии</w:t>
            </w:r>
          </w:p>
        </w:tc>
      </w:tr>
      <w:tr w:rsidR="00891520" w:rsidRPr="00842BC2" w14:paraId="2AFCD711" w14:textId="77777777" w:rsidTr="00FE1F51">
        <w:trPr>
          <w:jc w:val="center"/>
        </w:trPr>
        <w:tc>
          <w:tcPr>
            <w:tcW w:w="719" w:type="dxa"/>
            <w:vAlign w:val="center"/>
          </w:tcPr>
          <w:p w14:paraId="312BE4E9" w14:textId="47F3F183" w:rsidR="00891520" w:rsidRPr="00842BC2" w:rsidRDefault="00891520" w:rsidP="00891520">
            <w:pPr>
              <w:pStyle w:val="af1"/>
            </w:pPr>
            <w:r w:rsidRPr="00842BC2">
              <w:rPr>
                <w:sz w:val="18"/>
                <w:szCs w:val="18"/>
              </w:rPr>
              <w:t>S1</w:t>
            </w:r>
          </w:p>
        </w:tc>
        <w:tc>
          <w:tcPr>
            <w:tcW w:w="1732" w:type="dxa"/>
            <w:vAlign w:val="center"/>
          </w:tcPr>
          <w:p w14:paraId="7BF98FCA" w14:textId="12358A4E" w:rsidR="00891520" w:rsidRPr="00842BC2" w:rsidRDefault="00C44EA8" w:rsidP="00891520">
            <w:pPr>
              <w:pStyle w:val="af1"/>
            </w:pPr>
            <w:r w:rsidRPr="00842BC2">
              <w:rPr>
                <w:sz w:val="18"/>
                <w:szCs w:val="18"/>
              </w:rPr>
              <w:t xml:space="preserve">S0 +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 w:val="18"/>
                      <w:szCs w:val="18"/>
                    </w:rPr>
                    <m:t>tc</m:t>
                  </m:r>
                </m:sub>
              </m:sSub>
            </m:oMath>
          </w:p>
        </w:tc>
        <w:tc>
          <w:tcPr>
            <w:tcW w:w="2222" w:type="dxa"/>
            <w:vAlign w:val="center"/>
          </w:tcPr>
          <w:p w14:paraId="300E2DB9" w14:textId="6E76AB69" w:rsidR="00891520" w:rsidRPr="00842BC2" w:rsidRDefault="00C44EA8" w:rsidP="00891520">
            <w:pPr>
              <w:pStyle w:val="af1"/>
            </w:pPr>
            <w:r w:rsidRPr="00842BC2">
              <w:rPr>
                <w:sz w:val="18"/>
                <w:szCs w:val="18"/>
              </w:rPr>
              <w:t>Уточнение режима наддува</w:t>
            </w:r>
          </w:p>
        </w:tc>
      </w:tr>
      <w:tr w:rsidR="00891520" w:rsidRPr="00842BC2" w14:paraId="270FC8C7" w14:textId="77777777" w:rsidTr="00FE1F51">
        <w:trPr>
          <w:jc w:val="center"/>
        </w:trPr>
        <w:tc>
          <w:tcPr>
            <w:tcW w:w="719" w:type="dxa"/>
            <w:vAlign w:val="center"/>
          </w:tcPr>
          <w:p w14:paraId="2EC954E4" w14:textId="1326C1E6" w:rsidR="00891520" w:rsidRPr="00842BC2" w:rsidRDefault="00891520" w:rsidP="00891520">
            <w:pPr>
              <w:pStyle w:val="af1"/>
            </w:pPr>
            <w:r w:rsidRPr="00842BC2">
              <w:rPr>
                <w:sz w:val="18"/>
                <w:szCs w:val="18"/>
              </w:rPr>
              <w:t>S2</w:t>
            </w:r>
          </w:p>
        </w:tc>
        <w:tc>
          <w:tcPr>
            <w:tcW w:w="1732" w:type="dxa"/>
            <w:vAlign w:val="center"/>
          </w:tcPr>
          <w:p w14:paraId="7CCA6B71" w14:textId="4A7D7AE1" w:rsidR="00891520" w:rsidRPr="00842BC2" w:rsidRDefault="00C44EA8" w:rsidP="00891520">
            <w:pPr>
              <w:pStyle w:val="af1"/>
            </w:pPr>
            <w:r w:rsidRPr="00842BC2">
              <w:rPr>
                <w:sz w:val="18"/>
                <w:szCs w:val="18"/>
              </w:rPr>
              <w:t xml:space="preserve">S1 +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18"/>
                      <w:szCs w:val="1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 w:val="18"/>
                      <w:szCs w:val="18"/>
                    </w:rPr>
                    <m:t>ci</m:t>
                  </m:r>
                </m:sub>
              </m:sSub>
            </m:oMath>
          </w:p>
        </w:tc>
        <w:tc>
          <w:tcPr>
            <w:tcW w:w="2222" w:type="dxa"/>
            <w:vAlign w:val="center"/>
          </w:tcPr>
          <w:p w14:paraId="7C88CC3A" w14:textId="2CA04BE8" w:rsidR="00891520" w:rsidRPr="00842BC2" w:rsidRDefault="00C44EA8" w:rsidP="00891520">
            <w:pPr>
              <w:pStyle w:val="af1"/>
            </w:pPr>
            <w:r w:rsidRPr="00842BC2">
              <w:rPr>
                <w:sz w:val="18"/>
                <w:szCs w:val="18"/>
              </w:rPr>
              <w:t>Повышение устойчивости оценки в переходных режимах</w:t>
            </w:r>
          </w:p>
        </w:tc>
      </w:tr>
    </w:tbl>
    <w:p w14:paraId="508DD359" w14:textId="6D45A6B5" w:rsidR="00146C75" w:rsidRPr="00842BC2" w:rsidRDefault="003D5558" w:rsidP="00F720B1">
      <w:pPr>
        <w:pStyle w:val="a3"/>
        <w:spacing w:before="240"/>
      </w:pPr>
      <w:r w:rsidRPr="00842BC2">
        <w:t>Такие пакеты выбраны не случайно, а</w:t>
      </w:r>
      <w:r w:rsidR="00F720B1" w:rsidRPr="00842BC2">
        <w:t xml:space="preserve"> по принципу последовательного расширения измерительной схемы. Пакет S0 соответствует минимальному набору штатной телеметрии. Добавление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n</m:t>
            </m:r>
          </m:e>
          <m:sub>
            <m:r>
              <m:rPr>
                <m:nor/>
              </m:rPr>
              <w:rPr>
                <w:iCs/>
              </w:rPr>
              <m:t>tc</m:t>
            </m:r>
          </m:sub>
        </m:sSub>
      </m:oMath>
      <w:r w:rsidR="00786266" w:rsidRPr="00842BC2">
        <w:t xml:space="preserve"> </w:t>
      </w:r>
      <w:r w:rsidR="00F720B1" w:rsidRPr="00842BC2">
        <w:t>в пакете S1 позвол</w:t>
      </w:r>
      <w:r w:rsidRPr="00842BC2">
        <w:t>ит</w:t>
      </w:r>
      <w:r w:rsidR="00F720B1" w:rsidRPr="00842BC2">
        <w:t xml:space="preserve"> проверить, насколько частота вращения турбокомпрессора улучшает оценку. Пакет S2 использ</w:t>
      </w:r>
      <w:r w:rsidR="00533E64" w:rsidRPr="00842BC2">
        <w:t>уется</w:t>
      </w:r>
      <w:r w:rsidR="00F720B1" w:rsidRPr="00842BC2">
        <w:t>, чтобы оценить эффект включения ещё одного измерительного канала.</w:t>
      </w:r>
    </w:p>
    <w:p w14:paraId="59F4C30C" w14:textId="5A8D092A" w:rsidR="00DA17EA" w:rsidRPr="00842BC2" w:rsidRDefault="004D18D5" w:rsidP="00DA17EA">
      <w:pPr>
        <w:pStyle w:val="2"/>
      </w:pPr>
      <w:r w:rsidRPr="00842BC2">
        <w:t>Сценарии и данные</w:t>
      </w:r>
    </w:p>
    <w:p w14:paraId="64FB65CC" w14:textId="08549DCE" w:rsidR="00F720B1" w:rsidRPr="00A51660" w:rsidRDefault="00F720B1" w:rsidP="00A51660">
      <w:pPr>
        <w:pStyle w:val="a3"/>
        <w:spacing w:line="223" w:lineRule="auto"/>
        <w:rPr>
          <w:spacing w:val="-4"/>
        </w:rPr>
      </w:pPr>
      <w:r w:rsidRPr="00A51660">
        <w:rPr>
          <w:spacing w:val="-4"/>
        </w:rPr>
        <w:t>Вычислительный эксперимент выполнялся в MATLA</w:t>
      </w:r>
      <w:r w:rsidR="00842BC2" w:rsidRPr="00A51660">
        <w:rPr>
          <w:spacing w:val="-4"/>
          <w:lang w:val="en-US"/>
        </w:rPr>
        <w:t>B</w:t>
      </w:r>
      <w:r w:rsidRPr="00A51660">
        <w:rPr>
          <w:spacing w:val="-4"/>
        </w:rPr>
        <w:t xml:space="preserve">. </w:t>
      </w:r>
      <w:r w:rsidR="00533E64" w:rsidRPr="00A51660">
        <w:rPr>
          <w:spacing w:val="-4"/>
        </w:rPr>
        <w:t xml:space="preserve">Было определено три основных сценария: </w:t>
      </w:r>
      <w:r w:rsidR="00533E64" w:rsidRPr="00A51660">
        <w:rPr>
          <w:spacing w:val="-4"/>
          <w:lang w:val="en-US"/>
        </w:rPr>
        <w:t>E</w:t>
      </w:r>
      <w:r w:rsidR="00533E64" w:rsidRPr="00A51660">
        <w:rPr>
          <w:spacing w:val="-4"/>
        </w:rPr>
        <w:t xml:space="preserve">1, </w:t>
      </w:r>
      <w:r w:rsidR="00533E64" w:rsidRPr="00A51660">
        <w:rPr>
          <w:spacing w:val="-4"/>
          <w:lang w:val="en-US"/>
        </w:rPr>
        <w:t>E</w:t>
      </w:r>
      <w:r w:rsidR="00533E64" w:rsidRPr="00A51660">
        <w:rPr>
          <w:spacing w:val="-4"/>
        </w:rPr>
        <w:t xml:space="preserve">2, </w:t>
      </w:r>
      <w:r w:rsidR="00533E64" w:rsidRPr="00A51660">
        <w:rPr>
          <w:spacing w:val="-4"/>
          <w:lang w:val="en-US"/>
        </w:rPr>
        <w:t>E</w:t>
      </w:r>
      <w:r w:rsidR="00533E64" w:rsidRPr="00A51660">
        <w:rPr>
          <w:spacing w:val="-4"/>
        </w:rPr>
        <w:t xml:space="preserve">3. </w:t>
      </w:r>
      <w:r w:rsidRPr="00A51660">
        <w:rPr>
          <w:spacing w:val="-4"/>
        </w:rPr>
        <w:t>Длительность каждой траектории составляла 240</w:t>
      </w:r>
      <w:r w:rsidR="00A51660" w:rsidRPr="00A51660">
        <w:rPr>
          <w:spacing w:val="-4"/>
        </w:rPr>
        <w:t> </w:t>
      </w:r>
      <w:proofErr w:type="gramStart"/>
      <w:r w:rsidRPr="00A51660">
        <w:rPr>
          <w:spacing w:val="-4"/>
        </w:rPr>
        <w:t>с</w:t>
      </w:r>
      <w:proofErr w:type="gramEnd"/>
      <w:r w:rsidRPr="00A51660">
        <w:rPr>
          <w:spacing w:val="-4"/>
        </w:rPr>
        <w:t xml:space="preserve"> </w:t>
      </w:r>
      <w:proofErr w:type="gramStart"/>
      <w:r w:rsidRPr="00A51660">
        <w:rPr>
          <w:spacing w:val="-4"/>
        </w:rPr>
        <w:t>при</w:t>
      </w:r>
      <w:proofErr w:type="gramEnd"/>
      <w:r w:rsidRPr="00A51660">
        <w:rPr>
          <w:spacing w:val="-4"/>
        </w:rPr>
        <w:t xml:space="preserve"> шаге дискретизации 1 с. Для обучения </w:t>
      </w:r>
      <w:r w:rsidR="00533E64" w:rsidRPr="00A51660">
        <w:rPr>
          <w:spacing w:val="-4"/>
        </w:rPr>
        <w:t>было использовано</w:t>
      </w:r>
      <w:r w:rsidRPr="00A51660">
        <w:rPr>
          <w:spacing w:val="-4"/>
        </w:rPr>
        <w:t xml:space="preserve"> 160 траекторий, для калибровки интервальной модели</w:t>
      </w:r>
      <w:r w:rsidR="00B15E8A" w:rsidRPr="00A51660">
        <w:rPr>
          <w:spacing w:val="-4"/>
        </w:rPr>
        <w:t xml:space="preserve"> </w:t>
      </w:r>
      <w:r w:rsidR="00602F5E" w:rsidRPr="00A51660">
        <w:rPr>
          <w:spacing w:val="-4"/>
        </w:rPr>
        <w:t>–</w:t>
      </w:r>
      <w:r w:rsidR="00B15E8A" w:rsidRPr="00A51660">
        <w:rPr>
          <w:spacing w:val="-4"/>
        </w:rPr>
        <w:t xml:space="preserve"> </w:t>
      </w:r>
      <w:r w:rsidRPr="00A51660">
        <w:rPr>
          <w:spacing w:val="-4"/>
        </w:rPr>
        <w:t>40, для тестирования по сценарию E1</w:t>
      </w:r>
      <w:r w:rsidR="00B15E8A" w:rsidRPr="00A51660">
        <w:rPr>
          <w:spacing w:val="-4"/>
        </w:rPr>
        <w:t xml:space="preserve"> </w:t>
      </w:r>
      <w:r w:rsidR="00602F5E" w:rsidRPr="00A51660">
        <w:rPr>
          <w:spacing w:val="-4"/>
        </w:rPr>
        <w:t>–</w:t>
      </w:r>
      <w:r w:rsidR="00B15E8A" w:rsidRPr="00A51660">
        <w:rPr>
          <w:spacing w:val="-4"/>
        </w:rPr>
        <w:t xml:space="preserve"> </w:t>
      </w:r>
      <w:r w:rsidRPr="00A51660">
        <w:rPr>
          <w:spacing w:val="-4"/>
        </w:rPr>
        <w:t>30, по сценарию E2</w:t>
      </w:r>
      <w:r w:rsidR="00B15E8A" w:rsidRPr="00A51660">
        <w:rPr>
          <w:spacing w:val="-4"/>
        </w:rPr>
        <w:t xml:space="preserve"> </w:t>
      </w:r>
      <w:r w:rsidR="00602F5E" w:rsidRPr="00A51660">
        <w:rPr>
          <w:spacing w:val="-4"/>
        </w:rPr>
        <w:t>–</w:t>
      </w:r>
      <w:r w:rsidR="00B15E8A" w:rsidRPr="00A51660">
        <w:rPr>
          <w:spacing w:val="-4"/>
        </w:rPr>
        <w:t xml:space="preserve"> </w:t>
      </w:r>
      <w:r w:rsidRPr="00A51660">
        <w:rPr>
          <w:spacing w:val="-4"/>
        </w:rPr>
        <w:t>35, по сценарию E3</w:t>
      </w:r>
      <w:r w:rsidR="00B15E8A" w:rsidRPr="00A51660">
        <w:rPr>
          <w:spacing w:val="-4"/>
        </w:rPr>
        <w:t xml:space="preserve"> </w:t>
      </w:r>
      <w:r w:rsidR="00602F5E" w:rsidRPr="00A51660">
        <w:rPr>
          <w:spacing w:val="-4"/>
        </w:rPr>
        <w:t>–</w:t>
      </w:r>
      <w:r w:rsidR="00B15E8A" w:rsidRPr="00A51660">
        <w:rPr>
          <w:spacing w:val="-4"/>
        </w:rPr>
        <w:t xml:space="preserve"> </w:t>
      </w:r>
      <w:r w:rsidRPr="00A51660">
        <w:rPr>
          <w:spacing w:val="-4"/>
        </w:rPr>
        <w:t>35.</w:t>
      </w:r>
      <w:r w:rsidR="00533E64" w:rsidRPr="00A51660">
        <w:rPr>
          <w:spacing w:val="-4"/>
        </w:rPr>
        <w:t xml:space="preserve"> Каждый сценарий отвечал за определенную ситуацию:</w:t>
      </w:r>
    </w:p>
    <w:p w14:paraId="1B7D3FDE" w14:textId="4F27E54A" w:rsidR="00F720B1" w:rsidRPr="00842BC2" w:rsidRDefault="00F720B1" w:rsidP="00A51660">
      <w:pPr>
        <w:pStyle w:val="a3"/>
        <w:spacing w:line="223" w:lineRule="auto"/>
      </w:pPr>
      <w:r w:rsidRPr="00842BC2">
        <w:rPr>
          <w:b/>
          <w:bCs/>
        </w:rPr>
        <w:t>Сценарий E1</w:t>
      </w:r>
      <w:r w:rsidRPr="00842BC2">
        <w:t xml:space="preserve"> соответствовал режиму, близкому к обучающему распределению, то есть номинальной эксплуатации без выраженного смещения рабочей точки. Для него среднее значение целевого индекса составило 0,502, а доля отсчётов с </w:t>
      </w:r>
      <m:oMath>
        <m:r>
          <m:rPr>
            <m:nor/>
          </m:rPr>
          <w:rPr>
            <w:iCs/>
          </w:rPr>
          <m:t>y</m:t>
        </m:r>
        <m:r>
          <m:rPr>
            <m:nor/>
          </m:rPr>
          <m:t>≥0,80</m:t>
        </m:r>
      </m:oMath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Pr="00842BC2">
        <w:t>0,043.</w:t>
      </w:r>
    </w:p>
    <w:p w14:paraId="2F07EBAF" w14:textId="04517A9E" w:rsidR="00F720B1" w:rsidRPr="00842BC2" w:rsidRDefault="00F720B1" w:rsidP="00A51660">
      <w:pPr>
        <w:pStyle w:val="a3"/>
        <w:spacing w:line="223" w:lineRule="auto"/>
      </w:pPr>
      <w:r w:rsidRPr="00842BC2">
        <w:rPr>
          <w:b/>
          <w:bCs/>
        </w:rPr>
        <w:t>Сценарий E2</w:t>
      </w:r>
      <w:r w:rsidRPr="00842BC2">
        <w:t xml:space="preserve"> моделировал смещение рабочей точки при изменении нагрузки и расширении диапазонов внешних условий. </w:t>
      </w:r>
      <w:r w:rsidR="00244066" w:rsidRPr="00842BC2">
        <w:t>Так, п</w:t>
      </w:r>
      <w:r w:rsidRPr="00842BC2">
        <w:t>о сравнению с</w:t>
      </w:r>
      <w:r w:rsidR="00244066" w:rsidRPr="00842BC2">
        <w:t>о сценарием</w:t>
      </w:r>
      <w:r w:rsidRPr="00842BC2">
        <w:t xml:space="preserve"> E1</w:t>
      </w:r>
      <w:r w:rsidR="00244066" w:rsidRPr="00842BC2">
        <w:t>,</w:t>
      </w:r>
      <w:r w:rsidRPr="00842BC2">
        <w:t xml:space="preserve"> </w:t>
      </w:r>
      <w:r w:rsidR="00244066" w:rsidRPr="00842BC2">
        <w:t xml:space="preserve">например, </w:t>
      </w:r>
      <w:r w:rsidRPr="00842BC2">
        <w:t>диапазон относительной нагрузки увеличивался с 0,389</w:t>
      </w:r>
      <w:r w:rsidR="00602F5E" w:rsidRPr="00842BC2">
        <w:t>-</w:t>
      </w:r>
      <w:r w:rsidRPr="00842BC2">
        <w:t>0,872 до 0,331</w:t>
      </w:r>
      <w:r w:rsidR="00602F5E" w:rsidRPr="00842BC2">
        <w:t>-</w:t>
      </w:r>
      <w:r w:rsidRPr="00842BC2">
        <w:t>0,932</w:t>
      </w:r>
      <w:r w:rsidR="00244066" w:rsidRPr="00842BC2">
        <w:t xml:space="preserve">, </w:t>
      </w:r>
      <w:r w:rsidRPr="00842BC2">
        <w:t>а среднее давление в продувочном ресивере возрастало с 193,7 до 221,1 кПа.</w:t>
      </w:r>
    </w:p>
    <w:p w14:paraId="68870733" w14:textId="28063554" w:rsidR="00F23F01" w:rsidRPr="00842BC2" w:rsidRDefault="00F720B1" w:rsidP="00F720B1">
      <w:pPr>
        <w:pStyle w:val="a3"/>
      </w:pPr>
      <w:r w:rsidRPr="00842BC2">
        <w:rPr>
          <w:b/>
          <w:bCs/>
        </w:rPr>
        <w:lastRenderedPageBreak/>
        <w:t>Сценарий E3</w:t>
      </w:r>
      <w:r w:rsidRPr="00842BC2">
        <w:t xml:space="preserve"> воспроизводил неполноту и несовершенство данных. </w:t>
      </w:r>
      <w:r w:rsidR="00244066" w:rsidRPr="00842BC2">
        <w:t>Д</w:t>
      </w:r>
      <w:r w:rsidRPr="00842BC2">
        <w:t xml:space="preserve">оля </w:t>
      </w:r>
      <w:r w:rsidR="00244066" w:rsidRPr="00842BC2">
        <w:t xml:space="preserve">таких </w:t>
      </w:r>
      <w:r w:rsidRPr="00842BC2">
        <w:t>отсутствующих значений</w:t>
      </w:r>
      <w:r w:rsidR="00244066" w:rsidRPr="00842BC2">
        <w:t xml:space="preserve">, например, для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sr</m:t>
            </m:r>
          </m:sub>
        </m:sSub>
      </m:oMath>
      <w:r w:rsidR="00244066" w:rsidRPr="00842BC2">
        <w:t xml:space="preserve"> была условно принята равной </w:t>
      </w:r>
      <w:r w:rsidRPr="00842BC2">
        <w:t>8,2%</w:t>
      </w:r>
      <w:r w:rsidR="00244066" w:rsidRPr="00842BC2">
        <w:t xml:space="preserve">, для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n</m:t>
            </m:r>
          </m:e>
          <m:sub>
            <m:r>
              <m:rPr>
                <m:nor/>
              </m:rPr>
              <w:rPr>
                <w:iCs/>
              </w:rPr>
              <m:t>tc</m:t>
            </m:r>
          </m:sub>
        </m:sSub>
      </m:oMath>
      <w:r w:rsidR="00244066" w:rsidRPr="00842BC2">
        <w:t xml:space="preserve"> – </w:t>
      </w:r>
      <w:r w:rsidRPr="00842BC2">
        <w:t xml:space="preserve">8,3% и 4,8% для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ci</m:t>
            </m:r>
          </m:sub>
        </m:sSub>
      </m:oMath>
      <w:r w:rsidRPr="00842BC2">
        <w:t xml:space="preserve">; для </w:t>
      </w:r>
      <w:r w:rsidR="00244066" w:rsidRPr="00842BC2">
        <w:t>других</w:t>
      </w:r>
      <w:r w:rsidRPr="00842BC2">
        <w:t xml:space="preserve"> каналов задавались меньшие доли пропусков. </w:t>
      </w:r>
      <w:r w:rsidR="00244066" w:rsidRPr="00842BC2">
        <w:t xml:space="preserve">Такой сценарий </w:t>
      </w:r>
      <w:r w:rsidRPr="00842BC2">
        <w:t>приближа</w:t>
      </w:r>
      <w:r w:rsidR="00244066" w:rsidRPr="00842BC2">
        <w:t>ет</w:t>
      </w:r>
      <w:r w:rsidRPr="00842BC2">
        <w:t xml:space="preserve"> постановку</w:t>
      </w:r>
      <w:r w:rsidR="00244066" w:rsidRPr="00842BC2">
        <w:t xml:space="preserve"> нашей задачи</w:t>
      </w:r>
      <w:r w:rsidRPr="00842BC2">
        <w:t xml:space="preserve"> к реальным условиям эксплуатации.</w:t>
      </w:r>
    </w:p>
    <w:p w14:paraId="55B36864" w14:textId="13A58766" w:rsidR="00DA17EA" w:rsidRPr="00842BC2" w:rsidRDefault="004D18D5" w:rsidP="00B15E8A">
      <w:pPr>
        <w:pStyle w:val="2"/>
        <w:ind w:left="289" w:hanging="289"/>
      </w:pPr>
      <w:r w:rsidRPr="00842BC2">
        <w:t>Обработка данных и признаки</w:t>
      </w:r>
    </w:p>
    <w:p w14:paraId="6EE0FBD2" w14:textId="13FB1268" w:rsidR="00F720B1" w:rsidRPr="00842BC2" w:rsidRDefault="00F720B1" w:rsidP="00A51660">
      <w:pPr>
        <w:pStyle w:val="a3"/>
        <w:spacing w:line="223" w:lineRule="auto"/>
      </w:pPr>
      <w:r w:rsidRPr="00842BC2">
        <w:t>Контроль качества данных включал</w:t>
      </w:r>
      <w:r w:rsidR="008D7449" w:rsidRPr="00842BC2">
        <w:t xml:space="preserve">, в первую очередь, </w:t>
      </w:r>
      <w:r w:rsidRPr="00842BC2">
        <w:t>проверку допустимых диапазонов и восстановление пропусков. Короткие разрывы длительностью до 3</w:t>
      </w:r>
      <w:r w:rsidR="00A51660">
        <w:t> </w:t>
      </w:r>
      <w:proofErr w:type="gramStart"/>
      <w:r w:rsidRPr="00842BC2">
        <w:t>с заполнялись</w:t>
      </w:r>
      <w:proofErr w:type="gramEnd"/>
      <w:r w:rsidRPr="00842BC2">
        <w:t xml:space="preserve"> линейной интерполяцией</w:t>
      </w:r>
      <w:r w:rsidR="008D7449" w:rsidRPr="00842BC2">
        <w:t>, а д</w:t>
      </w:r>
      <w:r w:rsidRPr="00842BC2">
        <w:t xml:space="preserve">ля более длинных разрывов </w:t>
      </w:r>
      <w:r w:rsidR="008D7449" w:rsidRPr="00842BC2">
        <w:t xml:space="preserve">уже </w:t>
      </w:r>
      <w:r w:rsidRPr="00842BC2">
        <w:t xml:space="preserve">использовали удержание ближайших доступных значений. </w:t>
      </w:r>
      <w:r w:rsidR="008D7449" w:rsidRPr="00842BC2">
        <w:t>Вместе с этим,</w:t>
      </w:r>
      <w:r w:rsidRPr="00842BC2">
        <w:t xml:space="preserve"> сохранялись бинарные признаки качества, позволявшие различать исходно измеренные и восстановленные участки.</w:t>
      </w:r>
    </w:p>
    <w:p w14:paraId="48299C1A" w14:textId="42DF05A1" w:rsidR="00F720B1" w:rsidRPr="00842BC2" w:rsidRDefault="00F720B1" w:rsidP="00A51660">
      <w:pPr>
        <w:pStyle w:val="a3"/>
        <w:spacing w:line="223" w:lineRule="auto"/>
      </w:pPr>
      <w:r w:rsidRPr="00842BC2">
        <w:t xml:space="preserve">Далее рассчитывали исходные и производные признаки: </w:t>
      </w:r>
      <w:proofErr w:type="spellStart"/>
      <m:oMath>
        <m:r>
          <m:rPr>
            <m:nor/>
          </m:rPr>
          <w:rPr>
            <w:iCs/>
          </w:rPr>
          <m:t>dL</m:t>
        </m:r>
      </m:oMath>
      <w:proofErr w:type="spellEnd"/>
      <w:r w:rsidRPr="00842BC2">
        <w:t xml:space="preserve">, </w:t>
      </w:r>
      <m:oMath>
        <m:r>
          <m:rPr>
            <m:nor/>
          </m:rPr>
          <w:rPr>
            <w:iCs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w:proofErr w:type="spellStart"/>
            <m:r>
              <m:rPr>
                <m:nor/>
              </m:rPr>
              <w:rPr>
                <w:iCs/>
              </w:rPr>
              <m:t>sr</m:t>
            </m:r>
            <w:proofErr w:type="spellEnd"/>
          </m:sub>
        </m:sSub>
      </m:oMath>
      <w:r w:rsidRPr="00842BC2">
        <w:t xml:space="preserve">, </w:t>
      </w:r>
      <m:oMath>
        <m:r>
          <m:rPr>
            <m:nor/>
          </m:rPr>
          <w:rPr>
            <w:iCs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T</m:t>
            </m:r>
          </m:e>
          <m:sub>
            <m:r>
              <m:rPr>
                <m:nor/>
              </m:rPr>
              <w:rPr>
                <w:iCs/>
              </w:rPr>
              <m:t>exh</m:t>
            </m:r>
          </m:sub>
        </m:sSub>
      </m:oMath>
      <w:r w:rsidRPr="00842BC2">
        <w:t xml:space="preserve">, </w:t>
      </w:r>
      <m:oMath>
        <m:r>
          <m:rPr>
            <m:nor/>
          </m:rPr>
          <w:rPr>
            <w:iCs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n</m:t>
            </m:r>
          </m:e>
          <m:sub>
            <m:r>
              <m:rPr>
                <m:nor/>
              </m:rPr>
              <w:rPr>
                <w:iCs/>
              </w:rPr>
              <m:t>tc</m:t>
            </m:r>
          </m:sub>
        </m:sSub>
      </m:oMath>
      <w:r w:rsidRPr="00842BC2">
        <w:t xml:space="preserve">, скользящие средние и стандартные отклонения, степень сжатия </w:t>
      </w:r>
      <m:oMath>
        <m:r>
          <m:rPr>
            <m:nor/>
          </m:rPr>
          <w:rPr>
            <w:iCs/>
          </w:rPr>
          <m:t>PR</m:t>
        </m:r>
      </m:oMath>
      <w:r w:rsidRPr="00842BC2">
        <w:t xml:space="preserve">, суррогат приведённой частоты вращения и комбинированный индикатор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ψ</m:t>
            </m:r>
          </m:e>
          <m:sub>
            <m:r>
              <m:rPr>
                <m:nor/>
              </m:rPr>
              <m:t>0</m:t>
            </m:r>
          </m:sub>
        </m:sSub>
      </m:oMath>
      <w:r w:rsidRPr="00842BC2">
        <w:t>. В зависимости от состава сигнального пакета итоговое число признаков составляло 40 для S0, 46 для S1 и 51 для S2.</w:t>
      </w:r>
    </w:p>
    <w:p w14:paraId="0BCAD7F7" w14:textId="77777777" w:rsidR="00084F76" w:rsidRPr="00842BC2" w:rsidRDefault="00F720B1" w:rsidP="00A51660">
      <w:pPr>
        <w:pStyle w:val="a3"/>
        <w:spacing w:line="223" w:lineRule="auto"/>
      </w:pPr>
      <w:r w:rsidRPr="00842BC2">
        <w:t xml:space="preserve">Точечную оценку индекса </w:t>
      </w:r>
      <w:r w:rsidR="008D7449" w:rsidRPr="00842BC2">
        <w:t xml:space="preserve">близости к помпажу </w:t>
      </w:r>
      <w:r w:rsidRPr="00842BC2">
        <w:t>получали с помощью ансамбля регрессионных деревьев, включавшего 300 деревьев при минимальном размере листа 10</w:t>
      </w:r>
      <w:r w:rsidR="008D7449" w:rsidRPr="00842BC2">
        <w:t>, а и</w:t>
      </w:r>
      <w:r w:rsidRPr="00842BC2">
        <w:t>нтервальную оценку строили на основе квантильного ансамбля, формировавшего нижнюю, медианную и верхнюю оценки.</w:t>
      </w:r>
    </w:p>
    <w:p w14:paraId="46E19E9F" w14:textId="6F685408" w:rsidR="00F720B1" w:rsidRPr="00842BC2" w:rsidRDefault="00842BC2" w:rsidP="00A51660">
      <w:pPr>
        <w:pStyle w:val="a3"/>
        <w:spacing w:line="223" w:lineRule="auto"/>
      </w:pPr>
      <w:r w:rsidRPr="00842BC2">
        <w:t xml:space="preserve">Затем интервалы калибровали методом раздельной конформной калибровки </w:t>
      </w:r>
      <w:r w:rsidR="00F720B1" w:rsidRPr="00842BC2">
        <w:t xml:space="preserve">на отдельном калибровочном наборе при уровне </w:t>
      </w:r>
      <m:oMath>
        <m:r>
          <m:rPr>
            <m:nor/>
          </m:rPr>
          <w:rPr>
            <w:iCs/>
          </w:rPr>
          <m:t>α</m:t>
        </m:r>
        <m:r>
          <m:rPr>
            <m:nor/>
          </m:rPr>
          <m:t>=0,1</m:t>
        </m:r>
      </m:oMath>
      <w:r w:rsidR="00F720B1" w:rsidRPr="00842BC2">
        <w:t xml:space="preserve">. Такое решение задавало номинальное покрытие 0,90 на калибровочных данных. Для инженерной интерпретации использовали порог опасной близости </w:t>
      </w:r>
      <m:oMath>
        <m:r>
          <m:rPr>
            <m:nor/>
          </m:rPr>
          <w:rPr>
            <w:iCs/>
          </w:rPr>
          <m:t>τ</m:t>
        </m:r>
        <m:r>
          <m:rPr>
            <m:nor/>
          </m:rPr>
          <m:t>=0,80</m:t>
        </m:r>
      </m:oMath>
      <w:r w:rsidR="00F720B1" w:rsidRPr="00842BC2">
        <w:t>. Состояние считали опасным, если нижняя граница интервала не опускалась ниже этого порога; безопасным</w:t>
      </w:r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="00F720B1" w:rsidRPr="00842BC2">
        <w:t>если верхняя граница оставалась ниже порога; все промежуточные случаи относили к предупреждающей зоне.</w:t>
      </w:r>
    </w:p>
    <w:p w14:paraId="7E40941C" w14:textId="5A0A05F6" w:rsidR="00E018D0" w:rsidRPr="00842BC2" w:rsidRDefault="00F23F01" w:rsidP="00A51660">
      <w:pPr>
        <w:pStyle w:val="a3"/>
        <w:spacing w:line="223" w:lineRule="auto"/>
      </w:pPr>
      <w:r w:rsidRPr="00842BC2">
        <w:t xml:space="preserve">Качество моделей оценивали </w:t>
      </w:r>
      <w:r w:rsidR="00E756FA" w:rsidRPr="00842BC2">
        <w:t xml:space="preserve">с помощью </w:t>
      </w:r>
      <w:r w:rsidRPr="00842BC2">
        <w:t>следующи</w:t>
      </w:r>
      <w:r w:rsidR="00E756FA" w:rsidRPr="00842BC2">
        <w:t>х</w:t>
      </w:r>
      <w:r w:rsidRPr="00842BC2">
        <w:t xml:space="preserve"> показател</w:t>
      </w:r>
      <w:r w:rsidR="00E756FA" w:rsidRPr="00842BC2">
        <w:t>ей</w:t>
      </w:r>
      <w:r w:rsidRPr="00842BC2">
        <w:t>: средняя абсолютная ошибка MAE, среднеквадратическая ошибка RMSE, фактическая доля покрытия интервалом PICP, средняя ширина интервала MPIW, доля предупреждающих состояний WARN и показатель пропуска опасных режимов MDR.</w:t>
      </w:r>
    </w:p>
    <w:p w14:paraId="2EA1263A" w14:textId="34681262" w:rsidR="0017107E" w:rsidRPr="00842BC2" w:rsidRDefault="009946AA" w:rsidP="00E018D0">
      <w:pPr>
        <w:pStyle w:val="1"/>
      </w:pPr>
      <w:r w:rsidRPr="00842BC2">
        <w:rPr>
          <w:lang w:val="en-US"/>
        </w:rPr>
        <w:t>Результаты и обсуждение</w:t>
      </w:r>
    </w:p>
    <w:p w14:paraId="2AB5B38D" w14:textId="51524D95" w:rsidR="00FE1198" w:rsidRPr="00842BC2" w:rsidRDefault="004D18D5" w:rsidP="00FE1198">
      <w:pPr>
        <w:pStyle w:val="2"/>
      </w:pPr>
      <w:r w:rsidRPr="00842BC2">
        <w:t>Результаты точечной оценки</w:t>
      </w:r>
    </w:p>
    <w:p w14:paraId="3A282288" w14:textId="319FF926" w:rsidR="00F720B1" w:rsidRPr="00842BC2" w:rsidRDefault="00F720B1" w:rsidP="00A51660">
      <w:pPr>
        <w:pStyle w:val="a3"/>
        <w:spacing w:line="223" w:lineRule="auto"/>
      </w:pPr>
      <w:r w:rsidRPr="00842BC2">
        <w:t>В сценарии E1, соответствующем режиму, близкому к обучающему распределению, все три пакета обеспечили приемлемую точность</w:t>
      </w:r>
      <w:r w:rsidR="00205038" w:rsidRPr="00842BC2">
        <w:t xml:space="preserve">, а </w:t>
      </w:r>
      <w:r w:rsidRPr="00842BC2">
        <w:t>расширение измерительной конфигурации сразу давало выигрыш. Для S0 значение MAE составило 0,0135, тогда как для S1 и S2</w:t>
      </w:r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Pr="00842BC2">
        <w:t>0,0098 и 0,0096 соответственно. По RMSE наблюдалась та же картина: 0,0180 для S0, 0,0130 для S1 и 0,0128 для S2. Даже в E1 базовая штатная телеметрия уступала расширенным пакетам по обеим метрикам.</w:t>
      </w:r>
    </w:p>
    <w:p w14:paraId="30C187E9" w14:textId="51CCA427" w:rsidR="00F720B1" w:rsidRPr="00842BC2" w:rsidRDefault="00F720B1" w:rsidP="00A51660">
      <w:pPr>
        <w:pStyle w:val="a3"/>
        <w:spacing w:line="223" w:lineRule="auto"/>
      </w:pPr>
      <w:r w:rsidRPr="00842BC2">
        <w:t xml:space="preserve">Иная картина наблюдалась в сценарии E2, где рабочая точка смещалась относительно обучающего распределения. В этих условиях базовый пакет S0 систематически занижал индекс близости к помпажу: </w:t>
      </w:r>
      <w:r w:rsidRPr="00842BC2">
        <w:lastRenderedPageBreak/>
        <w:t xml:space="preserve">MAE увеличилась до 0,0612, а доля пропуска опасных состояний MDR достигла 0,5029. Добавление частоты вращения турбокомпрессора в пакете S1 уменьшило ошибку до 0,0486 и снизило MDR до 0,3731. Для S2 показатели составили 0,0474 и 0,3728 соответственно. Основной выигрыш при режимном сдвиге давало уже включение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n</m:t>
            </m:r>
          </m:e>
          <m:sub>
            <m:r>
              <m:rPr>
                <m:nor/>
              </m:rPr>
              <w:rPr>
                <w:iCs/>
              </w:rPr>
              <m:t>tc</m:t>
            </m:r>
          </m:sub>
        </m:sSub>
      </m:oMath>
      <w:r w:rsidRPr="00842BC2">
        <w:t xml:space="preserve">, тогда как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iCs/>
              </w:rPr>
              <m:t>p</m:t>
            </m:r>
          </m:e>
          <m:sub>
            <m:r>
              <m:rPr>
                <m:nor/>
              </m:rPr>
              <w:rPr>
                <w:iCs/>
              </w:rPr>
              <m:t>ci</m:t>
            </m:r>
          </m:sub>
        </m:sSub>
      </m:oMath>
      <w:r w:rsidR="00786266" w:rsidRPr="00842BC2">
        <w:t xml:space="preserve"> </w:t>
      </w:r>
      <w:r w:rsidRPr="00842BC2">
        <w:t>улучшал результат лишь незначительно.</w:t>
      </w:r>
    </w:p>
    <w:p w14:paraId="0B87BA95" w14:textId="5540F6AD" w:rsidR="00F720B1" w:rsidRPr="00842BC2" w:rsidRDefault="00F720B1" w:rsidP="00A51660">
      <w:pPr>
        <w:pStyle w:val="a3"/>
        <w:spacing w:line="223" w:lineRule="auto"/>
      </w:pPr>
      <w:r w:rsidRPr="00842BC2">
        <w:t>В сценарии E3, где часть данных была утрачена, а затем восстановлена, преимущество пакетов S1 и S2 над S0 сохранилось. Значения MAE составили 0,0168 для S0 и по 0,014 для S1 и S2. Доля пропуска опасных режимов уменьшилась с 0,2918 для S0 до 0,2023 для S1 и 0,2062 для S2. Преимущество расширенных пакетов сохранялось и при неполной телеметрии.</w:t>
      </w:r>
    </w:p>
    <w:p w14:paraId="3FB8009D" w14:textId="34FDD88C" w:rsidR="00FE1198" w:rsidRPr="00842BC2" w:rsidRDefault="004D18D5" w:rsidP="00FE1198">
      <w:pPr>
        <w:pStyle w:val="2"/>
      </w:pPr>
      <w:r w:rsidRPr="00842BC2">
        <w:t>Результаты интервальной оценки</w:t>
      </w:r>
    </w:p>
    <w:p w14:paraId="2D45CE31" w14:textId="77777777" w:rsidR="00F720B1" w:rsidRPr="00842BC2" w:rsidRDefault="00F720B1" w:rsidP="00A51660">
      <w:pPr>
        <w:pStyle w:val="a3"/>
        <w:spacing w:line="223" w:lineRule="auto"/>
      </w:pPr>
      <w:r w:rsidRPr="00842BC2">
        <w:t>На калибровочном наборе интервальные модели обеспечили покрытие, близкое к номинальному: PICP составил 0,9001 для S0 и S1 и 0,9125 для S2. Это означает, что на данных, близких к обучающим, интервальная калибровка работала корректно.</w:t>
      </w:r>
    </w:p>
    <w:p w14:paraId="6A03FF78" w14:textId="32B2C8C0" w:rsidR="00F720B1" w:rsidRPr="00842BC2" w:rsidRDefault="00F720B1" w:rsidP="00A51660">
      <w:pPr>
        <w:pStyle w:val="a3"/>
        <w:spacing w:line="223" w:lineRule="auto"/>
      </w:pPr>
      <w:r w:rsidRPr="00842BC2">
        <w:t>В сценарии E1 покрытие также оставалось близким к целевому уровню</w:t>
      </w:r>
      <w:r w:rsidR="00BF1FAA" w:rsidRPr="00842BC2">
        <w:t>.</w:t>
      </w:r>
      <w:r w:rsidRPr="00842BC2">
        <w:t xml:space="preserve"> PICP составил 0,8767 для S0, 0,8711 для S1 и 0,8978 для S2. При этом интервалы у S1 и S2 были уже, чем у S0: MPIW равнялся 0,0428, 0,0354 и 0,0350. Интервальная логика дополнительно уменьшала и риск пропуска опасных состояний: MDR снижался до 0,0323 для S0, 0,0161 для S1 и 0,0129 для S2. В E1 расширенные пакеты давали не только более точную точечную оценку, но и более узкие интервалы.</w:t>
      </w:r>
    </w:p>
    <w:p w14:paraId="366C9E59" w14:textId="5A182390" w:rsidR="00F720B1" w:rsidRPr="00842BC2" w:rsidRDefault="00F720B1" w:rsidP="00A51660">
      <w:pPr>
        <w:pStyle w:val="a3"/>
        <w:spacing w:line="223" w:lineRule="auto"/>
      </w:pPr>
      <w:r w:rsidRPr="00842BC2">
        <w:t>Наиболее сложным для интервальных моделей оказался сценарий E2. Для пакета S0 интервальная логика резко уменьшила долю пропуска опасных режимов по сравнению с точечной моделью</w:t>
      </w:r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Pr="00842BC2">
        <w:t xml:space="preserve">с 0,5029 до 0,1586, однако покрытие оказалось низким: PICP составил 0,3774. Это указывает на потерю калибровки при смещении режима. Для S1 показатель MDR снизился до 0,1348, а средняя ширина интервала составила 0,0672. </w:t>
      </w:r>
      <w:r w:rsidR="00B15E8A" w:rsidRPr="00842BC2">
        <w:t>В сценарии E2 пакет S2 дал лучший баланс между ошибкой, покрытием и долей пропуска опасных состояний</w:t>
      </w:r>
      <w:r w:rsidRPr="00842BC2">
        <w:t>: MAE составила 0,0474, PICP</w:t>
      </w:r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Pr="00842BC2">
        <w:t>0,4708, MDR</w:t>
      </w:r>
      <w:r w:rsidR="00B15E8A" w:rsidRPr="00842BC2">
        <w:t xml:space="preserve"> </w:t>
      </w:r>
      <w:r w:rsidR="00602F5E" w:rsidRPr="00842BC2">
        <w:t>–</w:t>
      </w:r>
      <w:r w:rsidR="00B15E8A" w:rsidRPr="00842BC2">
        <w:t xml:space="preserve"> </w:t>
      </w:r>
      <w:r w:rsidRPr="00842BC2">
        <w:t>0,0878. Покрытие и в этом случае оставалось ниже уровня 0,90, но именно S2 оказался наиболее устойчивым вариантом в тяжёлом режиме.</w:t>
      </w:r>
    </w:p>
    <w:p w14:paraId="596DDB85" w14:textId="606CA572" w:rsidR="00E018D0" w:rsidRPr="00842BC2" w:rsidRDefault="00F720B1" w:rsidP="00A51660">
      <w:pPr>
        <w:pStyle w:val="a3"/>
        <w:spacing w:line="223" w:lineRule="auto"/>
      </w:pPr>
      <w:r w:rsidRPr="00842BC2">
        <w:t>На рис. 1 показан характерный переходный участок сценария E2 для пакета S1. При быстром изменении режима точечная оценка сохраняет общий ход истинного индекса, а интервальная оценка расширяется в наиболее сложных областях. Даже при ухудшении формального покрытия интервал продолжает отражать рост неопределённости в переходных режимах.</w:t>
      </w:r>
    </w:p>
    <w:p w14:paraId="6432808E" w14:textId="7D572BE9" w:rsidR="00373376" w:rsidRPr="00842BC2" w:rsidRDefault="00E018D0" w:rsidP="00201707">
      <w:pPr>
        <w:pStyle w:val="a3"/>
        <w:ind w:firstLine="0"/>
        <w:jc w:val="center"/>
      </w:pPr>
      <w:r w:rsidRPr="00842BC2">
        <w:rPr>
          <w:noProof/>
          <w:lang w:eastAsia="ru-RU"/>
        </w:rPr>
        <w:drawing>
          <wp:inline distT="0" distB="0" distL="0" distR="0" wp14:anchorId="0B41A5EA" wp14:editId="455D58FA">
            <wp:extent cx="1696874" cy="1298575"/>
            <wp:effectExtent l="0" t="0" r="0" b="0"/>
            <wp:docPr id="2313514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7" t="6575" r="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91" cy="131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AC47F" w14:textId="00797386" w:rsidR="00C903D0" w:rsidRPr="00842BC2" w:rsidRDefault="00E018D0" w:rsidP="00E018D0">
      <w:pPr>
        <w:pStyle w:val="a"/>
      </w:pPr>
      <w:r w:rsidRPr="00842BC2">
        <w:t>Пример переходного участка E2 для пакета S1: истинный индекс, точечная оценка и калиброванный интервал неопределённости</w:t>
      </w:r>
    </w:p>
    <w:p w14:paraId="0E57A030" w14:textId="3D52A62E" w:rsidR="005F0488" w:rsidRPr="00842BC2" w:rsidRDefault="005F0488" w:rsidP="005F0488">
      <w:pPr>
        <w:pStyle w:val="a3"/>
      </w:pPr>
      <w:r w:rsidRPr="00842BC2">
        <w:lastRenderedPageBreak/>
        <w:t>В сценарии E3 интервальные модели для S1 и S2 вновь показали преимущество перед базовым пакетом. Значения MAE составили 0,0149 для S0, 0,0138 для S1 и 0,0133 для S2. Покрытие уменьшилось по сравнению с калибровочным набором и находилось в диапазоне 0,8265-0,8399. Это ниже номинального уровня, но заметно выше, чем при выраженном режимном сдвиге. Показатель MDR составил 0,0934 для S0, 0,0778 для S1 и 0,0739 для S2. Даже при неполной телеметрии расширенные пакеты давали надёжное предупреждение об опасных состояниях</w:t>
      </w:r>
    </w:p>
    <w:p w14:paraId="4589321A" w14:textId="7154D45F" w:rsidR="002278FD" w:rsidRPr="00842BC2" w:rsidRDefault="00B15E8A" w:rsidP="002278FD">
      <w:pPr>
        <w:pStyle w:val="a3"/>
      </w:pPr>
      <w:r w:rsidRPr="00842BC2">
        <w:t>Ключевые результаты для сценариев E2 и E3 приведены в табл. 2. Пакет S1 обеспечивает наиболее разумный компромисс между качеством оценки и сложностью измерительной системы. Пакет S2 даёт дополнительный выигрыш прежде всего в тяжёлом режиме, когда рабочая точка заметно уходит от обучающего распределения.</w:t>
      </w:r>
    </w:p>
    <w:p w14:paraId="3591FA7F" w14:textId="77777777" w:rsidR="00C2523D" w:rsidRPr="00842BC2" w:rsidRDefault="00C2523D" w:rsidP="00C2523D">
      <w:pPr>
        <w:pStyle w:val="a3"/>
        <w:spacing w:before="240"/>
        <w:ind w:firstLine="0"/>
        <w:jc w:val="center"/>
      </w:pPr>
      <w:r w:rsidRPr="00842BC2">
        <w:rPr>
          <w:rFonts w:eastAsia="Times New Roman"/>
          <w:noProof/>
          <w:lang w:eastAsia="ru-RU"/>
        </w:rPr>
        <w:drawing>
          <wp:inline distT="0" distB="0" distL="0" distR="0" wp14:anchorId="0A5406E7" wp14:editId="00691121">
            <wp:extent cx="1701800" cy="127572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3.png"/>
                    <pic:cNvPicPr/>
                  </pic:nvPicPr>
                  <pic:blipFill rotWithShape="1">
                    <a:blip r:embed="rId10"/>
                    <a:srcRect t="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70" cy="128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3A66A" w14:textId="6E0F5037" w:rsidR="00C2523D" w:rsidRPr="00842BC2" w:rsidRDefault="00C2523D" w:rsidP="00374BB0">
      <w:pPr>
        <w:pStyle w:val="a"/>
      </w:pPr>
      <w:r w:rsidRPr="00842BC2">
        <w:t>Сравнение пакетов сигналов по показателю пропуска опасных режимов при интервальной логике</w:t>
      </w:r>
    </w:p>
    <w:p w14:paraId="3324C2D4" w14:textId="458D3F6C" w:rsidR="00E018D0" w:rsidRPr="00842BC2" w:rsidRDefault="00E018D0" w:rsidP="00E018D0">
      <w:pPr>
        <w:pStyle w:val="a1"/>
      </w:pPr>
      <w:r w:rsidRPr="00842BC2">
        <w:t>Ключевые результаты по сценариям E2 и E3</w:t>
      </w:r>
      <w:r w:rsidR="00B87526" w:rsidRPr="00842BC2">
        <w:t xml:space="preserve"> </w:t>
      </w:r>
      <w:r w:rsidR="00AE078E" w:rsidRPr="00842BC2">
        <w:t>(</w:t>
      </w:r>
      <w:r w:rsidR="00AE078E" w:rsidRPr="00842BC2">
        <w:rPr>
          <w:lang w:val="en-US"/>
        </w:rPr>
        <w:t>MAE</w:t>
      </w:r>
      <w:r w:rsidR="00AE078E" w:rsidRPr="00842BC2">
        <w:t>/</w:t>
      </w:r>
      <w:r w:rsidR="00AE078E" w:rsidRPr="00842BC2">
        <w:rPr>
          <w:lang w:val="en-US"/>
        </w:rPr>
        <w:t>PICP</w:t>
      </w:r>
      <w:r w:rsidR="00AE078E" w:rsidRPr="00842BC2">
        <w:t>/</w:t>
      </w:r>
      <w:r w:rsidR="00AE078E" w:rsidRPr="00842BC2">
        <w:rPr>
          <w:lang w:val="en-US"/>
        </w:rPr>
        <w:t>MDR</w:t>
      </w:r>
      <w:r w:rsidR="00AE078E" w:rsidRPr="00842BC2">
        <w:t>)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728"/>
        <w:gridCol w:w="1995"/>
        <w:gridCol w:w="2153"/>
      </w:tblGrid>
      <w:tr w:rsidR="009946AA" w:rsidRPr="00842BC2" w14:paraId="2585CFCE" w14:textId="77777777" w:rsidTr="00FE1F51">
        <w:trPr>
          <w:jc w:val="center"/>
        </w:trPr>
        <w:tc>
          <w:tcPr>
            <w:tcW w:w="719" w:type="dxa"/>
            <w:vAlign w:val="center"/>
          </w:tcPr>
          <w:p w14:paraId="2453012E" w14:textId="77777777" w:rsidR="009946AA" w:rsidRPr="00842BC2" w:rsidRDefault="009946AA" w:rsidP="009946AA">
            <w:pPr>
              <w:pStyle w:val="af1"/>
              <w:rPr>
                <w:b/>
                <w:bCs/>
              </w:rPr>
            </w:pPr>
            <w:r w:rsidRPr="00842BC2">
              <w:rPr>
                <w:b/>
                <w:bCs/>
                <w:sz w:val="18"/>
                <w:szCs w:val="18"/>
              </w:rPr>
              <w:t>Пакет</w:t>
            </w:r>
          </w:p>
        </w:tc>
        <w:tc>
          <w:tcPr>
            <w:tcW w:w="1970" w:type="dxa"/>
          </w:tcPr>
          <w:p w14:paraId="1F61041A" w14:textId="44244307" w:rsidR="009946AA" w:rsidRPr="00842BC2" w:rsidRDefault="009946AA" w:rsidP="00AE078E">
            <w:pPr>
              <w:pStyle w:val="af1"/>
              <w:jc w:val="center"/>
              <w:rPr>
                <w:b/>
                <w:bCs/>
              </w:rPr>
            </w:pPr>
            <w:r w:rsidRPr="00842BC2">
              <w:rPr>
                <w:b/>
                <w:bCs/>
              </w:rPr>
              <w:t>E2</w:t>
            </w:r>
          </w:p>
        </w:tc>
        <w:tc>
          <w:tcPr>
            <w:tcW w:w="2126" w:type="dxa"/>
          </w:tcPr>
          <w:p w14:paraId="67E70A5F" w14:textId="3E2C3823" w:rsidR="00AE078E" w:rsidRPr="00842BC2" w:rsidRDefault="009946AA" w:rsidP="00AE078E">
            <w:pPr>
              <w:pStyle w:val="af1"/>
              <w:jc w:val="center"/>
              <w:rPr>
                <w:b/>
                <w:bCs/>
              </w:rPr>
            </w:pPr>
            <w:r w:rsidRPr="00842BC2">
              <w:rPr>
                <w:b/>
                <w:bCs/>
              </w:rPr>
              <w:t>E3</w:t>
            </w:r>
          </w:p>
        </w:tc>
      </w:tr>
      <w:tr w:rsidR="009946AA" w:rsidRPr="00842BC2" w14:paraId="529358AB" w14:textId="77777777" w:rsidTr="00FE1F51">
        <w:trPr>
          <w:jc w:val="center"/>
        </w:trPr>
        <w:tc>
          <w:tcPr>
            <w:tcW w:w="719" w:type="dxa"/>
            <w:vAlign w:val="center"/>
          </w:tcPr>
          <w:p w14:paraId="1981DDE4" w14:textId="77777777" w:rsidR="009946AA" w:rsidRPr="00842BC2" w:rsidRDefault="009946AA" w:rsidP="009946AA">
            <w:pPr>
              <w:pStyle w:val="af1"/>
            </w:pPr>
            <w:r w:rsidRPr="00842BC2">
              <w:rPr>
                <w:sz w:val="18"/>
                <w:szCs w:val="18"/>
              </w:rPr>
              <w:t>S0</w:t>
            </w:r>
          </w:p>
        </w:tc>
        <w:tc>
          <w:tcPr>
            <w:tcW w:w="1970" w:type="dxa"/>
          </w:tcPr>
          <w:p w14:paraId="262A3551" w14:textId="513A7C11" w:rsidR="009946AA" w:rsidRPr="00842BC2" w:rsidRDefault="009946AA" w:rsidP="009946AA">
            <w:pPr>
              <w:pStyle w:val="af1"/>
              <w:jc w:val="center"/>
            </w:pPr>
            <w:r w:rsidRPr="00842BC2">
              <w:t>0,0612 / 0,377</w:t>
            </w:r>
            <w:r w:rsidR="008B6949" w:rsidRPr="00842BC2">
              <w:t>4</w:t>
            </w:r>
            <w:r w:rsidRPr="00842BC2">
              <w:t xml:space="preserve"> / 0,1586</w:t>
            </w:r>
          </w:p>
        </w:tc>
        <w:tc>
          <w:tcPr>
            <w:tcW w:w="2126" w:type="dxa"/>
          </w:tcPr>
          <w:p w14:paraId="3C4C34D3" w14:textId="124E1672" w:rsidR="009946AA" w:rsidRPr="00842BC2" w:rsidRDefault="009946AA" w:rsidP="009946AA">
            <w:pPr>
              <w:pStyle w:val="af1"/>
              <w:jc w:val="center"/>
            </w:pPr>
            <w:r w:rsidRPr="00842BC2">
              <w:t>0,0168 / 0,838</w:t>
            </w:r>
            <w:r w:rsidR="008B6949" w:rsidRPr="00842BC2">
              <w:t>5</w:t>
            </w:r>
            <w:r w:rsidRPr="00842BC2">
              <w:t xml:space="preserve"> / 0,0934</w:t>
            </w:r>
          </w:p>
        </w:tc>
      </w:tr>
      <w:tr w:rsidR="009946AA" w:rsidRPr="00842BC2" w14:paraId="21945B91" w14:textId="77777777" w:rsidTr="00FE1F51">
        <w:trPr>
          <w:jc w:val="center"/>
        </w:trPr>
        <w:tc>
          <w:tcPr>
            <w:tcW w:w="719" w:type="dxa"/>
            <w:vAlign w:val="center"/>
          </w:tcPr>
          <w:p w14:paraId="79BD860A" w14:textId="77777777" w:rsidR="009946AA" w:rsidRPr="00842BC2" w:rsidRDefault="009946AA" w:rsidP="009946AA">
            <w:pPr>
              <w:pStyle w:val="af1"/>
            </w:pPr>
            <w:r w:rsidRPr="00842BC2">
              <w:rPr>
                <w:sz w:val="18"/>
                <w:szCs w:val="18"/>
              </w:rPr>
              <w:t>S1</w:t>
            </w:r>
          </w:p>
        </w:tc>
        <w:tc>
          <w:tcPr>
            <w:tcW w:w="1970" w:type="dxa"/>
          </w:tcPr>
          <w:p w14:paraId="76CC1960" w14:textId="4BB674A3" w:rsidR="009946AA" w:rsidRPr="00842BC2" w:rsidRDefault="009946AA" w:rsidP="009946AA">
            <w:pPr>
              <w:pStyle w:val="af1"/>
              <w:jc w:val="center"/>
            </w:pPr>
            <w:r w:rsidRPr="00842BC2">
              <w:t>0,0486 / 0,355</w:t>
            </w:r>
            <w:r w:rsidR="008B6949" w:rsidRPr="00842BC2">
              <w:t>0</w:t>
            </w:r>
            <w:r w:rsidRPr="00842BC2">
              <w:t xml:space="preserve"> / 0,1348</w:t>
            </w:r>
          </w:p>
        </w:tc>
        <w:tc>
          <w:tcPr>
            <w:tcW w:w="2126" w:type="dxa"/>
          </w:tcPr>
          <w:p w14:paraId="0EF67FE0" w14:textId="38E30B02" w:rsidR="009946AA" w:rsidRPr="00842BC2" w:rsidRDefault="009946AA" w:rsidP="009946AA">
            <w:pPr>
              <w:pStyle w:val="af1"/>
              <w:jc w:val="center"/>
            </w:pPr>
            <w:r w:rsidRPr="00842BC2">
              <w:t>0,0140 / 0,82</w:t>
            </w:r>
            <w:r w:rsidR="008B6949" w:rsidRPr="00842BC2">
              <w:t>65</w:t>
            </w:r>
            <w:r w:rsidRPr="00842BC2">
              <w:t xml:space="preserve"> / 0,0778</w:t>
            </w:r>
          </w:p>
        </w:tc>
      </w:tr>
      <w:tr w:rsidR="009946AA" w:rsidRPr="00842BC2" w14:paraId="597BD528" w14:textId="77777777" w:rsidTr="00FE1F51">
        <w:trPr>
          <w:jc w:val="center"/>
        </w:trPr>
        <w:tc>
          <w:tcPr>
            <w:tcW w:w="719" w:type="dxa"/>
            <w:vAlign w:val="center"/>
          </w:tcPr>
          <w:p w14:paraId="53897D13" w14:textId="77777777" w:rsidR="009946AA" w:rsidRPr="00842BC2" w:rsidRDefault="009946AA" w:rsidP="009946AA">
            <w:pPr>
              <w:pStyle w:val="af1"/>
            </w:pPr>
            <w:r w:rsidRPr="00842BC2">
              <w:rPr>
                <w:sz w:val="18"/>
                <w:szCs w:val="18"/>
              </w:rPr>
              <w:t>S2</w:t>
            </w:r>
          </w:p>
        </w:tc>
        <w:tc>
          <w:tcPr>
            <w:tcW w:w="1970" w:type="dxa"/>
          </w:tcPr>
          <w:p w14:paraId="5C9032F8" w14:textId="768B8CC6" w:rsidR="009946AA" w:rsidRPr="00842BC2" w:rsidRDefault="009946AA" w:rsidP="009946AA">
            <w:pPr>
              <w:pStyle w:val="af1"/>
              <w:jc w:val="center"/>
            </w:pPr>
            <w:r w:rsidRPr="00842BC2">
              <w:t>0,0474 / 0,47</w:t>
            </w:r>
            <w:r w:rsidR="008B6949" w:rsidRPr="00842BC2">
              <w:t>08</w:t>
            </w:r>
            <w:r w:rsidRPr="00842BC2">
              <w:t xml:space="preserve"> / 0,0878</w:t>
            </w:r>
          </w:p>
        </w:tc>
        <w:tc>
          <w:tcPr>
            <w:tcW w:w="2126" w:type="dxa"/>
          </w:tcPr>
          <w:p w14:paraId="2300319B" w14:textId="234AB25B" w:rsidR="009946AA" w:rsidRPr="00842BC2" w:rsidRDefault="009946AA" w:rsidP="009946AA">
            <w:pPr>
              <w:pStyle w:val="af1"/>
              <w:jc w:val="center"/>
            </w:pPr>
            <w:r w:rsidRPr="00842BC2">
              <w:t>0,0140 / 0,8</w:t>
            </w:r>
            <w:r w:rsidR="008B6949" w:rsidRPr="00842BC2">
              <w:t>399</w:t>
            </w:r>
            <w:r w:rsidRPr="00842BC2">
              <w:t xml:space="preserve"> / 0,0739</w:t>
            </w:r>
          </w:p>
        </w:tc>
      </w:tr>
    </w:tbl>
    <w:p w14:paraId="639111D4" w14:textId="6343939D" w:rsidR="003915FB" w:rsidRPr="00842BC2" w:rsidRDefault="00E018D0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842BC2">
        <w:t>З</w:t>
      </w:r>
      <w:r w:rsidR="003915FB" w:rsidRPr="00842BC2">
        <w:t>аключение</w:t>
      </w:r>
    </w:p>
    <w:p w14:paraId="250E75DE" w14:textId="40687AF2" w:rsidR="00B15E8A" w:rsidRPr="00842BC2" w:rsidRDefault="006F4178" w:rsidP="00B15E8A">
      <w:pPr>
        <w:pStyle w:val="a3"/>
      </w:pPr>
      <w:r w:rsidRPr="00842BC2">
        <w:t>Таким образом, в</w:t>
      </w:r>
      <w:r w:rsidR="00B15E8A" w:rsidRPr="00842BC2">
        <w:t xml:space="preserve"> исследовании </w:t>
      </w:r>
      <w:r w:rsidRPr="00842BC2">
        <w:t>показан</w:t>
      </w:r>
      <w:r w:rsidR="00B15E8A" w:rsidRPr="00842BC2">
        <w:t xml:space="preserve"> виртуальный датчик близости компрессора судового турбонаддува к помпажу, формирующий по ограниченной телеметрии точечную оценку и интервал неопределённости. На сценарном наборе данных показано, что базовый пакет S0 остаётся работоспособным только в условиях, близких к обучающему распределению, но заметно теряет качество при смещении рабочей точки и в меньшей степени </w:t>
      </w:r>
      <w:r w:rsidR="00602F5E" w:rsidRPr="00842BC2">
        <w:t>–</w:t>
      </w:r>
      <w:r w:rsidR="00B15E8A" w:rsidRPr="00842BC2">
        <w:t xml:space="preserve"> при неполных данных.</w:t>
      </w:r>
    </w:p>
    <w:p w14:paraId="36CC7E12" w14:textId="53CCCEAA" w:rsidR="00B15E8A" w:rsidRPr="00842BC2" w:rsidRDefault="00B15E8A" w:rsidP="00B15E8A">
      <w:pPr>
        <w:pStyle w:val="a3"/>
      </w:pPr>
      <w:bookmarkStart w:id="0" w:name="_GoBack"/>
      <w:bookmarkEnd w:id="0"/>
      <w:r w:rsidRPr="00842BC2">
        <w:t>Добавление частоты вращения турбокомпрессора в пакете S1 улучшало результаты как по точности, так и по доле пропуска опасных режимов. В данной постановке пакет S1 оказался наиболее разумным компромиссом между качеством оценки и сложностью измерительной системы. Пакет S2 показал лучшие значения метрик, особенно в сценарии E2, и может рассматриваться как предпочтительный вариант при допустимости дополнительного измерительного канала.</w:t>
      </w:r>
    </w:p>
    <w:p w14:paraId="15D0B621" w14:textId="5DEBCA93" w:rsidR="00DA384F" w:rsidRPr="00842BC2" w:rsidRDefault="00B15E8A" w:rsidP="005A387B">
      <w:pPr>
        <w:pStyle w:val="a3"/>
      </w:pPr>
      <w:r w:rsidRPr="00842BC2">
        <w:t xml:space="preserve">Интервальная оценка на калибровочном наборе и в режимах, близких к обучающим, </w:t>
      </w:r>
      <w:r w:rsidR="006F4178" w:rsidRPr="00842BC2">
        <w:t xml:space="preserve">показала </w:t>
      </w:r>
      <w:r w:rsidRPr="00842BC2">
        <w:t>покрытие, близкое к целевому уровню. При выраженном режимном сдвиге покрытие снижалось</w:t>
      </w:r>
      <w:r w:rsidR="006F4178" w:rsidRPr="00842BC2">
        <w:t>. Э</w:t>
      </w:r>
      <w:r w:rsidRPr="00842BC2">
        <w:t xml:space="preserve">то указывает на ограниченную переносимость текущей схемы калибровки. Однако даже в этих условиях интервальная </w:t>
      </w:r>
      <w:r w:rsidRPr="00842BC2">
        <w:lastRenderedPageBreak/>
        <w:t>логика уменьша</w:t>
      </w:r>
      <w:r w:rsidR="006F4178" w:rsidRPr="00842BC2">
        <w:t>ет</w:t>
      </w:r>
      <w:r w:rsidRPr="00842BC2">
        <w:t xml:space="preserve"> риск пропуска опасных состояний по сравнению с точечной оценкой и потому оста</w:t>
      </w:r>
      <w:r w:rsidR="006F4178" w:rsidRPr="00842BC2">
        <w:t>ётся</w:t>
      </w:r>
      <w:r w:rsidRPr="00842BC2">
        <w:t xml:space="preserve"> полезной для раннего предупреждения.</w:t>
      </w:r>
      <w:r w:rsidR="00DA384F" w:rsidRPr="00842BC2">
        <w:t xml:space="preserve"> </w:t>
      </w:r>
    </w:p>
    <w:p w14:paraId="3FF8BFE5" w14:textId="5D327AF0" w:rsidR="00DF21B8" w:rsidRPr="00842BC2" w:rsidRDefault="006A7B58" w:rsidP="006A7B58">
      <w:pPr>
        <w:pStyle w:val="5"/>
        <w:rPr>
          <w:rStyle w:val="af7"/>
          <w:b w:val="0"/>
          <w:bCs w:val="0"/>
        </w:rPr>
      </w:pPr>
      <w:r w:rsidRPr="00842BC2">
        <w:t>Список литературы</w:t>
      </w:r>
    </w:p>
    <w:p w14:paraId="14885F49" w14:textId="55EB8A0D" w:rsidR="009D40DB" w:rsidRPr="00FE1F51" w:rsidRDefault="009D40DB" w:rsidP="009D40DB">
      <w:pPr>
        <w:pStyle w:val="a0"/>
        <w:ind w:left="289" w:hanging="289"/>
        <w:rPr>
          <w:spacing w:val="-2"/>
          <w:lang w:val="en-US"/>
        </w:rPr>
      </w:pPr>
      <w:proofErr w:type="spellStart"/>
      <w:r w:rsidRPr="00FE1F51">
        <w:rPr>
          <w:spacing w:val="-2"/>
          <w:lang w:val="en-US"/>
        </w:rPr>
        <w:t>Romashin</w:t>
      </w:r>
      <w:proofErr w:type="spellEnd"/>
      <w:r w:rsidRPr="00FE1F51">
        <w:rPr>
          <w:spacing w:val="-2"/>
          <w:lang w:val="en-US"/>
        </w:rPr>
        <w:t xml:space="preserve">, D.V. Application of Artificial Intelligence to Improve the Efficiency of Monitoring and Diagnosing the Condition of Complex Technical Objects / D.V. </w:t>
      </w:r>
      <w:proofErr w:type="spellStart"/>
      <w:r w:rsidRPr="00FE1F51">
        <w:rPr>
          <w:spacing w:val="-2"/>
          <w:lang w:val="en-US"/>
        </w:rPr>
        <w:t>Romashin</w:t>
      </w:r>
      <w:proofErr w:type="spellEnd"/>
      <w:r w:rsidRPr="00FE1F51">
        <w:rPr>
          <w:spacing w:val="-2"/>
          <w:lang w:val="en-US"/>
        </w:rPr>
        <w:t xml:space="preserve"> // Proceedings of the 2024 Conference of Young Researchers in Electrical and Electronic Engineering (</w:t>
      </w:r>
      <w:proofErr w:type="spellStart"/>
      <w:r w:rsidRPr="00FE1F51">
        <w:rPr>
          <w:spacing w:val="-2"/>
          <w:lang w:val="en-US"/>
        </w:rPr>
        <w:t>ElCon</w:t>
      </w:r>
      <w:proofErr w:type="spellEnd"/>
      <w:r w:rsidRPr="00FE1F51">
        <w:rPr>
          <w:spacing w:val="-2"/>
          <w:lang w:val="en-US"/>
        </w:rPr>
        <w:t>). 2024. P. 485–488. – DOI 10.1109/ElCon61730.2024.10468497.</w:t>
      </w:r>
    </w:p>
    <w:p w14:paraId="4EBC3E99" w14:textId="7B50FC26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Arefiev</w:t>
      </w:r>
      <w:proofErr w:type="spellEnd"/>
      <w:r w:rsidRPr="00842BC2">
        <w:rPr>
          <w:lang w:val="en-US"/>
        </w:rPr>
        <w:t xml:space="preserve">, I.B. Implementation of Control and Forecasting Problems of Human-Machine Complexes on the Basis of Logic-Reflexive Modeling / I.B. </w:t>
      </w:r>
      <w:proofErr w:type="spellStart"/>
      <w:r w:rsidRPr="00842BC2">
        <w:rPr>
          <w:lang w:val="en-US"/>
        </w:rPr>
        <w:t>Arefiev</w:t>
      </w:r>
      <w:proofErr w:type="spellEnd"/>
      <w:r w:rsidRPr="00842BC2">
        <w:rPr>
          <w:lang w:val="en-US"/>
        </w:rPr>
        <w:t xml:space="preserve">, O.V. </w:t>
      </w:r>
      <w:proofErr w:type="spellStart"/>
      <w:r w:rsidRPr="00842BC2">
        <w:rPr>
          <w:lang w:val="en-US"/>
        </w:rPr>
        <w:t>Afanaseva</w:t>
      </w:r>
      <w:proofErr w:type="spellEnd"/>
      <w:r w:rsidRPr="00842BC2">
        <w:rPr>
          <w:lang w:val="en-US"/>
        </w:rPr>
        <w:t xml:space="preserve"> // System Analysis in Engineering and Control. Lecture Notes in Networks and Systems. 2022. Vol. 442. P. 187–197. – DOI 10.1007/978-3-030-98832-6_17.</w:t>
      </w:r>
    </w:p>
    <w:p w14:paraId="26BA4D93" w14:textId="3BBB325A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>Fetisov, V.G. Aggregative Simulation Method for Implementing Mathematical Models for Gas Transmission Systems / V.G. Fetisov, A.K. Nikolaev, Y.V. Lykov // IOP Conference Series: Materials Science and Engineering. 2018. Vol. 327, No. 2. P. 022033. – DOI 10.1088/1757-899X/327/2/022033.</w:t>
      </w:r>
    </w:p>
    <w:p w14:paraId="543EB9A6" w14:textId="2B03D417" w:rsidR="009D40DB" w:rsidRPr="00FE1F51" w:rsidRDefault="009D40DB" w:rsidP="009D40DB">
      <w:pPr>
        <w:pStyle w:val="a0"/>
        <w:ind w:left="289" w:hanging="289"/>
        <w:rPr>
          <w:spacing w:val="-2"/>
          <w:lang w:val="en-US"/>
        </w:rPr>
      </w:pPr>
      <w:r w:rsidRPr="00FE1F51">
        <w:rPr>
          <w:spacing w:val="-2"/>
          <w:lang w:val="en-US"/>
        </w:rPr>
        <w:t xml:space="preserve">Ilyushin, Y.V. Modeling and Optimization of an Automatic Temperature Control System for the Catalytic Cracking Process / Y.V. Ilyushin, A.V. Martirosyan, M.-A. </w:t>
      </w:r>
      <w:proofErr w:type="spellStart"/>
      <w:r w:rsidRPr="00FE1F51">
        <w:rPr>
          <w:spacing w:val="-2"/>
          <w:lang w:val="en-US"/>
        </w:rPr>
        <w:t>Asadulagi</w:t>
      </w:r>
      <w:proofErr w:type="spellEnd"/>
      <w:r w:rsidRPr="00FE1F51">
        <w:rPr>
          <w:spacing w:val="-2"/>
          <w:lang w:val="en-US"/>
        </w:rPr>
        <w:t xml:space="preserve">, T. </w:t>
      </w:r>
      <w:proofErr w:type="spellStart"/>
      <w:r w:rsidRPr="00FE1F51">
        <w:rPr>
          <w:spacing w:val="-2"/>
          <w:lang w:val="en-US"/>
        </w:rPr>
        <w:t>Kukharova</w:t>
      </w:r>
      <w:proofErr w:type="spellEnd"/>
      <w:r w:rsidRPr="00FE1F51">
        <w:rPr>
          <w:spacing w:val="-2"/>
          <w:lang w:val="en-US"/>
        </w:rPr>
        <w:t xml:space="preserve"> // </w:t>
      </w:r>
      <w:proofErr w:type="spellStart"/>
      <w:r w:rsidRPr="00FE1F51">
        <w:rPr>
          <w:spacing w:val="-2"/>
          <w:lang w:val="en-US"/>
        </w:rPr>
        <w:t>Modelling</w:t>
      </w:r>
      <w:proofErr w:type="spellEnd"/>
      <w:r w:rsidRPr="00FE1F51">
        <w:rPr>
          <w:spacing w:val="-2"/>
          <w:lang w:val="en-US"/>
        </w:rPr>
        <w:t>. 2026. Vol. 7, No. 2. P. 68. – DOI 10.3390/modelling7020068.</w:t>
      </w:r>
    </w:p>
    <w:p w14:paraId="0564E675" w14:textId="5D04D246" w:rsidR="009D40DB" w:rsidRPr="00FE1F51" w:rsidRDefault="009D40DB" w:rsidP="009D40DB">
      <w:pPr>
        <w:pStyle w:val="a0"/>
        <w:ind w:left="289" w:hanging="289"/>
        <w:rPr>
          <w:spacing w:val="-2"/>
          <w:lang w:val="en-US"/>
        </w:rPr>
      </w:pPr>
      <w:proofErr w:type="spellStart"/>
      <w:r w:rsidRPr="00FE1F51">
        <w:rPr>
          <w:spacing w:val="-2"/>
          <w:lang w:val="en-US"/>
        </w:rPr>
        <w:t>Kukharova</w:t>
      </w:r>
      <w:proofErr w:type="spellEnd"/>
      <w:r w:rsidRPr="00FE1F51">
        <w:rPr>
          <w:spacing w:val="-2"/>
          <w:lang w:val="en-US"/>
        </w:rPr>
        <w:t xml:space="preserve">, T. Development of the Separation Column’s Temperature Field Monitoring System / T. </w:t>
      </w:r>
      <w:proofErr w:type="spellStart"/>
      <w:r w:rsidRPr="00FE1F51">
        <w:rPr>
          <w:spacing w:val="-2"/>
          <w:lang w:val="en-US"/>
        </w:rPr>
        <w:t>Kukharova</w:t>
      </w:r>
      <w:proofErr w:type="spellEnd"/>
      <w:r w:rsidRPr="00FE1F51">
        <w:rPr>
          <w:spacing w:val="-2"/>
          <w:lang w:val="en-US"/>
        </w:rPr>
        <w:t xml:space="preserve">, A. Martirosyan, M.-A. </w:t>
      </w:r>
      <w:proofErr w:type="spellStart"/>
      <w:r w:rsidRPr="00FE1F51">
        <w:rPr>
          <w:spacing w:val="-2"/>
          <w:lang w:val="en-US"/>
        </w:rPr>
        <w:t>Asadulagi</w:t>
      </w:r>
      <w:proofErr w:type="spellEnd"/>
      <w:r w:rsidRPr="00FE1F51">
        <w:rPr>
          <w:spacing w:val="-2"/>
          <w:lang w:val="en-US"/>
        </w:rPr>
        <w:t>, Y. Ilyushin // Energies. 2024. Vol. 17, No. 20. P. 5175. – DOI 10.3390/en17205175.</w:t>
      </w:r>
    </w:p>
    <w:p w14:paraId="0AE9BF1E" w14:textId="2D9214CD" w:rsidR="009D40DB" w:rsidRPr="00FE1F51" w:rsidRDefault="009D40DB" w:rsidP="009D40DB">
      <w:pPr>
        <w:pStyle w:val="a0"/>
        <w:ind w:left="289" w:hanging="289"/>
        <w:rPr>
          <w:spacing w:val="-2"/>
          <w:lang w:val="en-US"/>
        </w:rPr>
      </w:pPr>
      <w:proofErr w:type="spellStart"/>
      <w:r w:rsidRPr="00FE1F51">
        <w:rPr>
          <w:spacing w:val="-2"/>
          <w:lang w:val="en-US"/>
        </w:rPr>
        <w:t>Martirosyan</w:t>
      </w:r>
      <w:proofErr w:type="spellEnd"/>
      <w:r w:rsidRPr="00FE1F51">
        <w:rPr>
          <w:spacing w:val="-2"/>
          <w:lang w:val="en-US"/>
        </w:rPr>
        <w:t xml:space="preserve">, A.V. Investigation of the Control Strategies for Enhancing the Efficiency of Natural Gas Separation and Purification Processes / A.V. </w:t>
      </w:r>
      <w:proofErr w:type="spellStart"/>
      <w:r w:rsidRPr="00FE1F51">
        <w:rPr>
          <w:spacing w:val="-2"/>
          <w:lang w:val="en-US"/>
        </w:rPr>
        <w:t>Martirosyan</w:t>
      </w:r>
      <w:proofErr w:type="spellEnd"/>
      <w:r w:rsidRPr="00FE1F51">
        <w:rPr>
          <w:spacing w:val="-2"/>
          <w:lang w:val="en-US"/>
        </w:rPr>
        <w:t xml:space="preserve">, D.V. </w:t>
      </w:r>
      <w:proofErr w:type="spellStart"/>
      <w:r w:rsidRPr="00FE1F51">
        <w:rPr>
          <w:spacing w:val="-2"/>
          <w:lang w:val="en-US"/>
        </w:rPr>
        <w:t>Romashin</w:t>
      </w:r>
      <w:proofErr w:type="spellEnd"/>
      <w:r w:rsidRPr="00FE1F51">
        <w:rPr>
          <w:spacing w:val="-2"/>
          <w:lang w:val="en-US"/>
        </w:rPr>
        <w:t xml:space="preserve"> // Processes. 2026. Vol. 14, No. 4. P. 700. – DOI 10.3390/pr14040700.</w:t>
      </w:r>
    </w:p>
    <w:p w14:paraId="4455A69C" w14:textId="106A4D6A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>Afanaseva, O. Vibration-Based Condition Monitoring of Diesel Engines in Industrial Energy Applications: A Scopi</w:t>
      </w:r>
      <w:r w:rsidR="00FE1F51">
        <w:rPr>
          <w:lang w:val="en-US"/>
        </w:rPr>
        <w:t xml:space="preserve">ng Review / </w:t>
      </w:r>
      <w:proofErr w:type="spellStart"/>
      <w:r w:rsidR="00FE1F51">
        <w:rPr>
          <w:lang w:val="en-US"/>
        </w:rPr>
        <w:t>O.</w:t>
      </w:r>
      <w:r w:rsidRPr="00842BC2">
        <w:rPr>
          <w:lang w:val="en-US"/>
        </w:rPr>
        <w:t>Afanaseva</w:t>
      </w:r>
      <w:proofErr w:type="spellEnd"/>
      <w:r w:rsidRPr="00842BC2">
        <w:rPr>
          <w:lang w:val="en-US"/>
        </w:rPr>
        <w:t>, D. Pervukhin, A. Khatrusov // Energies. 2025. Vol. 18, No. 21. P. 5717. – DOI 10.3390/en18215717.</w:t>
      </w:r>
    </w:p>
    <w:p w14:paraId="24E577CE" w14:textId="2BE4AB3A" w:rsidR="009D40DB" w:rsidRPr="00A51660" w:rsidRDefault="009D40DB" w:rsidP="009D40DB">
      <w:pPr>
        <w:pStyle w:val="a0"/>
        <w:ind w:left="289" w:hanging="289"/>
        <w:rPr>
          <w:spacing w:val="-2"/>
          <w:lang w:val="en-US"/>
        </w:rPr>
      </w:pPr>
      <w:r w:rsidRPr="00A51660">
        <w:rPr>
          <w:spacing w:val="-2"/>
          <w:lang w:val="en-US"/>
        </w:rPr>
        <w:t>Afanaseva, O.V. Comparative Analysis of Image Segmentation Methods in Power Line Monitoring Systems / O.V. Afanaseva, T.F. Tulyakov // International Journal of Engineering, Transactions A: Basics. 2026. Vol. 39, No. 1. P. 1–11. – DOI 10.5829/ije.2026.39.01a.01.</w:t>
      </w:r>
    </w:p>
    <w:p w14:paraId="1231D81B" w14:textId="0AFCF090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Ilyushin</w:t>
      </w:r>
      <w:proofErr w:type="spellEnd"/>
      <w:r w:rsidRPr="00842BC2">
        <w:rPr>
          <w:lang w:val="en-US"/>
        </w:rPr>
        <w:t xml:space="preserve">, Y.V. Analysis of Energy Sustainability and Problems of Technological Process of Primary Aluminum Production / Y.V. </w:t>
      </w:r>
      <w:proofErr w:type="spellStart"/>
      <w:r w:rsidRPr="00842BC2">
        <w:rPr>
          <w:lang w:val="en-US"/>
        </w:rPr>
        <w:t>Ilyushin</w:t>
      </w:r>
      <w:proofErr w:type="spellEnd"/>
      <w:r w:rsidRPr="00842BC2">
        <w:rPr>
          <w:lang w:val="en-US"/>
        </w:rPr>
        <w:t xml:space="preserve">, E.A. </w:t>
      </w:r>
      <w:proofErr w:type="spellStart"/>
      <w:r w:rsidRPr="00842BC2">
        <w:rPr>
          <w:lang w:val="en-US"/>
        </w:rPr>
        <w:t>Boronko</w:t>
      </w:r>
      <w:proofErr w:type="spellEnd"/>
      <w:r w:rsidRPr="00842BC2">
        <w:rPr>
          <w:lang w:val="en-US"/>
        </w:rPr>
        <w:t xml:space="preserve"> // Energies. 2025. Vol. 18, No. 9. P. 2194. – DOI 10.3390/en18092194.</w:t>
      </w:r>
    </w:p>
    <w:p w14:paraId="1D3C351D" w14:textId="7908A809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Asadulagi</w:t>
      </w:r>
      <w:proofErr w:type="spellEnd"/>
      <w:r w:rsidRPr="00842BC2">
        <w:rPr>
          <w:lang w:val="en-US"/>
        </w:rPr>
        <w:t xml:space="preserve">, M.M. The Use of Distributed and Lumped Type Controllers for the Hydro-Lithospheric Process Control System of the </w:t>
      </w:r>
      <w:proofErr w:type="spellStart"/>
      <w:r w:rsidRPr="00842BC2">
        <w:rPr>
          <w:lang w:val="en-US"/>
        </w:rPr>
        <w:t>Kislovodskoye</w:t>
      </w:r>
      <w:proofErr w:type="spellEnd"/>
      <w:r w:rsidRPr="00842BC2">
        <w:rPr>
          <w:lang w:val="en-US"/>
        </w:rPr>
        <w:t xml:space="preserve"> Field / M.M. Asadulagi, O.S. Vasilkov // Proceedings of the 2019 III International Conference on Control in Technical Systems (CTS), Saint Petersburg, Russia, 30 October–1 November 2019. 2019. P. 7–10. – DOI 10.1109/CTS48763.2019.8973272.</w:t>
      </w:r>
    </w:p>
    <w:p w14:paraId="29CE60F2" w14:textId="55CF2026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Asadulagi</w:t>
      </w:r>
      <w:proofErr w:type="spellEnd"/>
      <w:r w:rsidRPr="00842BC2">
        <w:rPr>
          <w:lang w:val="en-US"/>
        </w:rPr>
        <w:t xml:space="preserve">, M.M. Synthesis of Lumped and Distributed Controllers for Control System of Hydrodynamic Process / M.M. </w:t>
      </w:r>
      <w:proofErr w:type="spellStart"/>
      <w:r w:rsidRPr="00842BC2">
        <w:rPr>
          <w:lang w:val="en-US"/>
        </w:rPr>
        <w:t>Asadulagi</w:t>
      </w:r>
      <w:proofErr w:type="spellEnd"/>
      <w:r w:rsidRPr="00842BC2">
        <w:rPr>
          <w:lang w:val="en-US"/>
        </w:rPr>
        <w:t xml:space="preserve">, G.V. </w:t>
      </w:r>
      <w:proofErr w:type="spellStart"/>
      <w:r w:rsidRPr="00842BC2">
        <w:rPr>
          <w:lang w:val="en-US"/>
        </w:rPr>
        <w:t>Ioskov</w:t>
      </w:r>
      <w:proofErr w:type="spellEnd"/>
      <w:r w:rsidRPr="00842BC2">
        <w:rPr>
          <w:lang w:val="en-US"/>
        </w:rPr>
        <w:t xml:space="preserve">, E.V. </w:t>
      </w:r>
      <w:proofErr w:type="spellStart"/>
      <w:r w:rsidRPr="00842BC2">
        <w:rPr>
          <w:lang w:val="en-US"/>
        </w:rPr>
        <w:t>Tronina</w:t>
      </w:r>
      <w:proofErr w:type="spellEnd"/>
      <w:r w:rsidRPr="00842BC2">
        <w:rPr>
          <w:lang w:val="en-US"/>
        </w:rPr>
        <w:t xml:space="preserve"> // Proceedings of the 2019 International Multi-Conference on Industrial Engineering and Modern Technologies (</w:t>
      </w:r>
      <w:proofErr w:type="spellStart"/>
      <w:r w:rsidRPr="00842BC2">
        <w:rPr>
          <w:lang w:val="en-US"/>
        </w:rPr>
        <w:t>FarEastCon</w:t>
      </w:r>
      <w:proofErr w:type="spellEnd"/>
      <w:r w:rsidRPr="00842BC2">
        <w:rPr>
          <w:lang w:val="en-US"/>
        </w:rPr>
        <w:t>), Vladivostok, Russia, 1–4 October 2019. 2019. P. 8933859. – DOI 10.1109/FarEastCon.2019.8933859.</w:t>
      </w:r>
    </w:p>
    <w:p w14:paraId="6D69DB5C" w14:textId="3835E30D" w:rsidR="009D40DB" w:rsidRPr="00A51660" w:rsidRDefault="009D40DB" w:rsidP="009D40DB">
      <w:pPr>
        <w:pStyle w:val="a0"/>
        <w:ind w:left="289" w:hanging="289"/>
        <w:rPr>
          <w:spacing w:val="-2"/>
          <w:lang w:val="en-US"/>
        </w:rPr>
      </w:pPr>
      <w:proofErr w:type="spellStart"/>
      <w:r w:rsidRPr="00A51660">
        <w:rPr>
          <w:spacing w:val="-2"/>
          <w:lang w:val="en-US"/>
        </w:rPr>
        <w:t>Fetisov</w:t>
      </w:r>
      <w:proofErr w:type="spellEnd"/>
      <w:r w:rsidRPr="00A51660">
        <w:rPr>
          <w:spacing w:val="-2"/>
          <w:lang w:val="en-US"/>
        </w:rPr>
        <w:t xml:space="preserve">, V.G. Mathematical Modeling of Non-Stationary Gas Flow in Gas Pipeline / V.G. </w:t>
      </w:r>
      <w:proofErr w:type="spellStart"/>
      <w:r w:rsidRPr="00A51660">
        <w:rPr>
          <w:spacing w:val="-2"/>
          <w:lang w:val="en-US"/>
        </w:rPr>
        <w:t>Fetisov</w:t>
      </w:r>
      <w:proofErr w:type="spellEnd"/>
      <w:r w:rsidRPr="00A51660">
        <w:rPr>
          <w:spacing w:val="-2"/>
          <w:lang w:val="en-US"/>
        </w:rPr>
        <w:t xml:space="preserve">, A.K. </w:t>
      </w:r>
      <w:proofErr w:type="spellStart"/>
      <w:r w:rsidRPr="00A51660">
        <w:rPr>
          <w:spacing w:val="-2"/>
          <w:lang w:val="en-US"/>
        </w:rPr>
        <w:t>Nikolaev</w:t>
      </w:r>
      <w:proofErr w:type="spellEnd"/>
      <w:r w:rsidRPr="00A51660">
        <w:rPr>
          <w:spacing w:val="-2"/>
          <w:lang w:val="en-US"/>
        </w:rPr>
        <w:t xml:space="preserve">, Y.V. </w:t>
      </w:r>
      <w:proofErr w:type="spellStart"/>
      <w:r w:rsidRPr="00A51660">
        <w:rPr>
          <w:spacing w:val="-2"/>
          <w:lang w:val="en-US"/>
        </w:rPr>
        <w:t>Lykov</w:t>
      </w:r>
      <w:proofErr w:type="spellEnd"/>
      <w:r w:rsidRPr="00A51660">
        <w:rPr>
          <w:spacing w:val="-2"/>
          <w:lang w:val="en-US"/>
        </w:rPr>
        <w:t xml:space="preserve">, L.N. </w:t>
      </w:r>
      <w:proofErr w:type="spellStart"/>
      <w:r w:rsidRPr="00A51660">
        <w:rPr>
          <w:spacing w:val="-2"/>
          <w:lang w:val="en-US"/>
        </w:rPr>
        <w:t>Duchnevich</w:t>
      </w:r>
      <w:proofErr w:type="spellEnd"/>
      <w:r w:rsidRPr="00A51660">
        <w:rPr>
          <w:spacing w:val="-2"/>
          <w:lang w:val="en-US"/>
        </w:rPr>
        <w:t xml:space="preserve"> // IOP Conference Series: Materials Science and Engineering. 2018. Vol. 327, No. 2. P. 022034. – DOI 10.1088/1757-899X/327/2/022034.</w:t>
      </w:r>
    </w:p>
    <w:p w14:paraId="11114226" w14:textId="68B9881B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Kleshnia</w:t>
      </w:r>
      <w:proofErr w:type="spellEnd"/>
      <w:r w:rsidRPr="00842BC2">
        <w:rPr>
          <w:lang w:val="en-US"/>
        </w:rPr>
        <w:t xml:space="preserve">, V.A. Modeling of Pressure Control System in Oil Wells Accounting for Reservoir Non-Homogeneity / V.A. </w:t>
      </w:r>
      <w:proofErr w:type="spellStart"/>
      <w:r w:rsidRPr="00842BC2">
        <w:rPr>
          <w:lang w:val="en-US"/>
        </w:rPr>
        <w:t>Kleshnia</w:t>
      </w:r>
      <w:proofErr w:type="spellEnd"/>
      <w:r w:rsidRPr="00842BC2">
        <w:rPr>
          <w:lang w:val="en-US"/>
        </w:rPr>
        <w:t xml:space="preserve">, T.V. </w:t>
      </w:r>
      <w:proofErr w:type="spellStart"/>
      <w:r w:rsidRPr="00842BC2">
        <w:rPr>
          <w:lang w:val="en-US"/>
        </w:rPr>
        <w:t>Kukharova</w:t>
      </w:r>
      <w:proofErr w:type="spellEnd"/>
      <w:r w:rsidRPr="00842BC2">
        <w:rPr>
          <w:lang w:val="en-US"/>
        </w:rPr>
        <w:t xml:space="preserve">, I.S. </w:t>
      </w:r>
      <w:proofErr w:type="spellStart"/>
      <w:r w:rsidRPr="00842BC2">
        <w:rPr>
          <w:lang w:val="en-US"/>
        </w:rPr>
        <w:t>Fedosov</w:t>
      </w:r>
      <w:proofErr w:type="spellEnd"/>
      <w:r w:rsidRPr="00842BC2">
        <w:rPr>
          <w:lang w:val="en-US"/>
        </w:rPr>
        <w:t xml:space="preserve">, V.V. </w:t>
      </w:r>
      <w:proofErr w:type="spellStart"/>
      <w:r w:rsidRPr="00842BC2">
        <w:rPr>
          <w:lang w:val="en-US"/>
        </w:rPr>
        <w:t>Tsapleva</w:t>
      </w:r>
      <w:proofErr w:type="spellEnd"/>
      <w:r w:rsidRPr="00842BC2">
        <w:rPr>
          <w:lang w:val="en-US"/>
        </w:rPr>
        <w:t xml:space="preserve"> // Proceedings of the 2025 VI International Conference on Control in Technical Systems (CTS). 2025. P. 64–67. – DOI 10.1109/CTS67336.2025.11196275.</w:t>
      </w:r>
    </w:p>
    <w:p w14:paraId="5E236AAB" w14:textId="32460D87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Kukharova</w:t>
      </w:r>
      <w:proofErr w:type="spellEnd"/>
      <w:r w:rsidRPr="00842BC2">
        <w:rPr>
          <w:lang w:val="en-US"/>
        </w:rPr>
        <w:t xml:space="preserve">, T. Analysis of Modern Challenges and Technological Solutions in Natural Gas Production at Fields with Complex Geological Structure: A Review / T. </w:t>
      </w:r>
      <w:proofErr w:type="spellStart"/>
      <w:r w:rsidRPr="00842BC2">
        <w:rPr>
          <w:lang w:val="en-US"/>
        </w:rPr>
        <w:t>Kukharova</w:t>
      </w:r>
      <w:proofErr w:type="spellEnd"/>
      <w:r w:rsidRPr="00842BC2">
        <w:rPr>
          <w:lang w:val="en-US"/>
        </w:rPr>
        <w:t xml:space="preserve">, P. Maltsev, S. Abramkin, I. </w:t>
      </w:r>
      <w:proofErr w:type="spellStart"/>
      <w:r w:rsidRPr="00842BC2">
        <w:rPr>
          <w:lang w:val="en-US"/>
        </w:rPr>
        <w:t>Novozhilov</w:t>
      </w:r>
      <w:proofErr w:type="spellEnd"/>
      <w:r w:rsidRPr="00842BC2">
        <w:rPr>
          <w:lang w:val="en-US"/>
        </w:rPr>
        <w:t xml:space="preserve"> // Resources. 2026. Vol. 15, No. 2. P. 32. – DOI 10.3390/resources15020032.</w:t>
      </w:r>
    </w:p>
    <w:p w14:paraId="0FC00B2C" w14:textId="00AA7207" w:rsidR="009D40DB" w:rsidRPr="00A51660" w:rsidRDefault="009D40DB" w:rsidP="009D40DB">
      <w:pPr>
        <w:pStyle w:val="a0"/>
        <w:ind w:left="289" w:hanging="289"/>
        <w:rPr>
          <w:spacing w:val="-2"/>
          <w:lang w:val="en-US"/>
        </w:rPr>
      </w:pPr>
      <w:r w:rsidRPr="00A51660">
        <w:rPr>
          <w:spacing w:val="-2"/>
          <w:lang w:val="en-US"/>
        </w:rPr>
        <w:lastRenderedPageBreak/>
        <w:t>Sidorenko, A.A. An Assessment of Multiple Seam Stress Conditions Using a 3-D Numerical Modelling Approach / A.A. Sidorenko, Y.G. Sirenko, S.A. Sidorenko // Journal of Physics: Conference Series. 2019. Vol. 1333, No. 3. P. 032078. – DOI 10.1088/1742-6596/1333/3/032078.</w:t>
      </w:r>
    </w:p>
    <w:p w14:paraId="557963C9" w14:textId="6B28FFAE" w:rsidR="009D40DB" w:rsidRPr="00A51660" w:rsidRDefault="009D40DB" w:rsidP="009D40DB">
      <w:pPr>
        <w:pStyle w:val="a0"/>
        <w:ind w:left="289" w:hanging="289"/>
        <w:rPr>
          <w:spacing w:val="-2"/>
          <w:lang w:val="en-US"/>
        </w:rPr>
      </w:pPr>
      <w:r w:rsidRPr="00A51660">
        <w:rPr>
          <w:spacing w:val="-2"/>
          <w:lang w:val="en-US"/>
        </w:rPr>
        <w:t>Khasanov, A.F. Creation of Artificial Aeration System to Improve Water Quality in Reservoirs / A.F. Khasanov, A.M. Eremeeva // Hydrology. 2025. Vol. 12, No. 3. P. 48. – DOI 10.3390/hydrology12030048.</w:t>
      </w:r>
    </w:p>
    <w:p w14:paraId="2CF5F6D4" w14:textId="3D91DF65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Golovina</w:t>
      </w:r>
      <w:proofErr w:type="spellEnd"/>
      <w:r w:rsidRPr="00842BC2">
        <w:rPr>
          <w:lang w:val="en-US"/>
        </w:rPr>
        <w:t xml:space="preserve">, E.I. Problems of Modern Legislation in the Sphere of Underground Waters Extraction Management / E.I. </w:t>
      </w:r>
      <w:proofErr w:type="spellStart"/>
      <w:r w:rsidRPr="00842BC2">
        <w:rPr>
          <w:lang w:val="en-US"/>
        </w:rPr>
        <w:t>Golovina</w:t>
      </w:r>
      <w:proofErr w:type="spellEnd"/>
      <w:r w:rsidRPr="00842BC2">
        <w:rPr>
          <w:lang w:val="en-US"/>
        </w:rPr>
        <w:t xml:space="preserve">, V.S. </w:t>
      </w:r>
      <w:proofErr w:type="spellStart"/>
      <w:r w:rsidRPr="00842BC2">
        <w:rPr>
          <w:lang w:val="en-US"/>
        </w:rPr>
        <w:t>Khloponina</w:t>
      </w:r>
      <w:proofErr w:type="spellEnd"/>
      <w:r w:rsidRPr="00842BC2">
        <w:rPr>
          <w:lang w:val="en-US"/>
        </w:rPr>
        <w:t xml:space="preserve"> // Geology and Mineral Resources of Siberia. 2020. No. 1. P. 106–114. – DOI 10.20403/2078-0575-2020-1-106-114.</w:t>
      </w:r>
    </w:p>
    <w:p w14:paraId="730AF090" w14:textId="29B09542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Golovina</w:t>
      </w:r>
      <w:proofErr w:type="spellEnd"/>
      <w:r w:rsidRPr="00842BC2">
        <w:rPr>
          <w:lang w:val="en-US"/>
        </w:rPr>
        <w:t xml:space="preserve">, E.I. Optimization of the Groundwater Extraction Taxation System in the Russian Federation / E.I. </w:t>
      </w:r>
      <w:proofErr w:type="spellStart"/>
      <w:r w:rsidRPr="00842BC2">
        <w:rPr>
          <w:lang w:val="en-US"/>
        </w:rPr>
        <w:t>Golovina</w:t>
      </w:r>
      <w:proofErr w:type="spellEnd"/>
      <w:r w:rsidRPr="00842BC2">
        <w:rPr>
          <w:lang w:val="en-US"/>
        </w:rPr>
        <w:t xml:space="preserve">, S.A. </w:t>
      </w:r>
      <w:proofErr w:type="spellStart"/>
      <w:r w:rsidRPr="00842BC2">
        <w:rPr>
          <w:lang w:val="en-US"/>
        </w:rPr>
        <w:t>Chirkina</w:t>
      </w:r>
      <w:proofErr w:type="spellEnd"/>
      <w:r w:rsidRPr="00842BC2">
        <w:rPr>
          <w:lang w:val="en-US"/>
        </w:rPr>
        <w:t xml:space="preserve"> // Geology and Mineral Resources of Siberia. 2025. No. 4b. P. 185–194. – DOI 10.20403/2078-0575-2025-4b-185-194.</w:t>
      </w:r>
    </w:p>
    <w:p w14:paraId="05BBC472" w14:textId="13ECAE96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 xml:space="preserve">Khaykin, M.M. Digital Transformation Management Issues: An Oil-and-Gas Industry Example / M.M. </w:t>
      </w:r>
      <w:proofErr w:type="spellStart"/>
      <w:r w:rsidRPr="00842BC2">
        <w:rPr>
          <w:lang w:val="en-US"/>
        </w:rPr>
        <w:t>Khaykin</w:t>
      </w:r>
      <w:proofErr w:type="spellEnd"/>
      <w:r w:rsidRPr="00842BC2">
        <w:rPr>
          <w:lang w:val="en-US"/>
        </w:rPr>
        <w:t xml:space="preserve">, K.A. </w:t>
      </w:r>
      <w:proofErr w:type="spellStart"/>
      <w:r w:rsidRPr="00842BC2">
        <w:rPr>
          <w:lang w:val="en-US"/>
        </w:rPr>
        <w:t>Priyma</w:t>
      </w:r>
      <w:proofErr w:type="spellEnd"/>
      <w:r w:rsidRPr="00842BC2">
        <w:rPr>
          <w:lang w:val="en-US"/>
        </w:rPr>
        <w:t xml:space="preserve"> // Navigating Digital Transformation: Original Research Across Smart Cities, Sustainable Development and Beyond. Hauppauge, NY: Nova Science Publishers, 2024. P. 99–112.</w:t>
      </w:r>
    </w:p>
    <w:p w14:paraId="0F6BEDE8" w14:textId="4319B2CB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Marinina</w:t>
      </w:r>
      <w:proofErr w:type="spellEnd"/>
      <w:r w:rsidRPr="00842BC2">
        <w:rPr>
          <w:lang w:val="en-US"/>
        </w:rPr>
        <w:t xml:space="preserve">, O.A. Comprehensive Analysis and Forecasting of Indicators of Sustainable Development of Nuclear Industry Enterprises / O.A. </w:t>
      </w:r>
      <w:proofErr w:type="spellStart"/>
      <w:r w:rsidRPr="00842BC2">
        <w:rPr>
          <w:lang w:val="en-US"/>
        </w:rPr>
        <w:t>Marinina</w:t>
      </w:r>
      <w:proofErr w:type="spellEnd"/>
      <w:r w:rsidRPr="00842BC2">
        <w:rPr>
          <w:lang w:val="en-US"/>
        </w:rPr>
        <w:t xml:space="preserve">, Y.V. </w:t>
      </w:r>
      <w:proofErr w:type="spellStart"/>
      <w:r w:rsidRPr="00842BC2">
        <w:rPr>
          <w:lang w:val="en-US"/>
        </w:rPr>
        <w:t>Ilyushin</w:t>
      </w:r>
      <w:proofErr w:type="spellEnd"/>
      <w:r w:rsidRPr="00842BC2">
        <w:rPr>
          <w:lang w:val="en-US"/>
        </w:rPr>
        <w:t xml:space="preserve">, E.V. </w:t>
      </w:r>
      <w:proofErr w:type="spellStart"/>
      <w:r w:rsidRPr="00842BC2">
        <w:rPr>
          <w:lang w:val="en-US"/>
        </w:rPr>
        <w:t>Kildiushov</w:t>
      </w:r>
      <w:proofErr w:type="spellEnd"/>
      <w:r w:rsidRPr="00842BC2">
        <w:rPr>
          <w:lang w:val="en-US"/>
        </w:rPr>
        <w:t xml:space="preserve"> // International Journal of Engineering, Transactions B: Applications. 2025. Vol. 38, No. 11. </w:t>
      </w:r>
      <w:r w:rsidR="00A51660">
        <w:rPr>
          <w:lang w:val="en-US"/>
        </w:rPr>
        <w:t>P.</w:t>
      </w:r>
      <w:r w:rsidR="00A51660">
        <w:t> </w:t>
      </w:r>
      <w:r w:rsidRPr="00842BC2">
        <w:rPr>
          <w:lang w:val="en-US"/>
        </w:rPr>
        <w:t>2527–2536. – DOI 10.5829/ije.2025.38.11b.05.</w:t>
      </w:r>
    </w:p>
    <w:p w14:paraId="3A92A25E" w14:textId="06137618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Andreeva</w:t>
      </w:r>
      <w:proofErr w:type="spellEnd"/>
      <w:r w:rsidRPr="00842BC2">
        <w:rPr>
          <w:lang w:val="en-US"/>
        </w:rPr>
        <w:t xml:space="preserve">, E.S. </w:t>
      </w:r>
      <w:proofErr w:type="spellStart"/>
      <w:r w:rsidRPr="00842BC2">
        <w:rPr>
          <w:lang w:val="en-US"/>
        </w:rPr>
        <w:t>Nanofluid</w:t>
      </w:r>
      <w:proofErr w:type="spellEnd"/>
      <w:r w:rsidRPr="00842BC2">
        <w:rPr>
          <w:lang w:val="en-US"/>
        </w:rPr>
        <w:t xml:space="preserve"> Flooding as a Method of Enhancing Oil Recovery: Mechanism, Advantages / E.S. </w:t>
      </w:r>
      <w:proofErr w:type="spellStart"/>
      <w:r w:rsidRPr="00842BC2">
        <w:rPr>
          <w:lang w:val="en-US"/>
        </w:rPr>
        <w:t>Andreeva</w:t>
      </w:r>
      <w:proofErr w:type="spellEnd"/>
      <w:r w:rsidRPr="00842BC2">
        <w:rPr>
          <w:lang w:val="en-US"/>
        </w:rPr>
        <w:t xml:space="preserve">, O.A. </w:t>
      </w:r>
      <w:proofErr w:type="spellStart"/>
      <w:r w:rsidRPr="00842BC2">
        <w:rPr>
          <w:lang w:val="en-US"/>
        </w:rPr>
        <w:t>Marinina</w:t>
      </w:r>
      <w:proofErr w:type="spellEnd"/>
      <w:r w:rsidRPr="00842BC2">
        <w:rPr>
          <w:lang w:val="en-US"/>
        </w:rPr>
        <w:t xml:space="preserve">, L.G. </w:t>
      </w:r>
      <w:proofErr w:type="spellStart"/>
      <w:r w:rsidRPr="00842BC2">
        <w:rPr>
          <w:lang w:val="en-US"/>
        </w:rPr>
        <w:t>Turovskaya</w:t>
      </w:r>
      <w:proofErr w:type="spellEnd"/>
      <w:r w:rsidRPr="00842BC2">
        <w:rPr>
          <w:lang w:val="en-US"/>
        </w:rPr>
        <w:t xml:space="preserve"> // Bulletin of the Tomsk Polytechnic University. Geo Assets Engineering. 2024. Vol. 335, No. 6. P. 189–202. – DOI 10.18799/24131830/2024/6/4408.</w:t>
      </w:r>
    </w:p>
    <w:p w14:paraId="266BB5C2" w14:textId="0FE053E9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Barykin</w:t>
      </w:r>
      <w:proofErr w:type="spellEnd"/>
      <w:r w:rsidRPr="00842BC2">
        <w:rPr>
          <w:lang w:val="en-US"/>
        </w:rPr>
        <w:t xml:space="preserve">, S.E. Sustainability Analysis of Energy Resources Transport Based on A Digital N-D Logistics Network / S.E. </w:t>
      </w:r>
      <w:proofErr w:type="spellStart"/>
      <w:r w:rsidRPr="00842BC2">
        <w:rPr>
          <w:lang w:val="en-US"/>
        </w:rPr>
        <w:t>Barykin</w:t>
      </w:r>
      <w:proofErr w:type="spellEnd"/>
      <w:r w:rsidRPr="00842BC2">
        <w:rPr>
          <w:lang w:val="en-US"/>
        </w:rPr>
        <w:t xml:space="preserve">, S.M. </w:t>
      </w:r>
      <w:proofErr w:type="spellStart"/>
      <w:r w:rsidRPr="00842BC2">
        <w:rPr>
          <w:lang w:val="en-US"/>
        </w:rPr>
        <w:t>Sergeev</w:t>
      </w:r>
      <w:proofErr w:type="spellEnd"/>
      <w:r w:rsidRPr="00842BC2">
        <w:rPr>
          <w:lang w:val="en-US"/>
        </w:rPr>
        <w:t xml:space="preserve">, V.V. </w:t>
      </w:r>
      <w:proofErr w:type="spellStart"/>
      <w:r w:rsidRPr="00842BC2">
        <w:rPr>
          <w:lang w:val="en-US"/>
        </w:rPr>
        <w:t>Provotorov</w:t>
      </w:r>
      <w:proofErr w:type="spellEnd"/>
      <w:r w:rsidRPr="00842BC2">
        <w:rPr>
          <w:lang w:val="en-US"/>
        </w:rPr>
        <w:t xml:space="preserve">, K.K. </w:t>
      </w:r>
      <w:proofErr w:type="spellStart"/>
      <w:r w:rsidRPr="00842BC2">
        <w:rPr>
          <w:lang w:val="en-US"/>
        </w:rPr>
        <w:t>Lavskaya</w:t>
      </w:r>
      <w:proofErr w:type="spellEnd"/>
      <w:r w:rsidRPr="00842BC2">
        <w:rPr>
          <w:lang w:val="en-US"/>
        </w:rPr>
        <w:t xml:space="preserve">, K.A. Shidlovskaya, N. </w:t>
      </w:r>
      <w:proofErr w:type="spellStart"/>
      <w:r w:rsidRPr="00842BC2">
        <w:rPr>
          <w:lang w:val="en-US"/>
        </w:rPr>
        <w:t>Dedyukhina</w:t>
      </w:r>
      <w:proofErr w:type="spellEnd"/>
      <w:r w:rsidRPr="00842BC2">
        <w:rPr>
          <w:lang w:val="en-US"/>
        </w:rPr>
        <w:t xml:space="preserve">, O. Mikhov, V. </w:t>
      </w:r>
      <w:proofErr w:type="spellStart"/>
      <w:r w:rsidRPr="00842BC2">
        <w:rPr>
          <w:lang w:val="en-US"/>
        </w:rPr>
        <w:t>Buniak</w:t>
      </w:r>
      <w:proofErr w:type="spellEnd"/>
      <w:r w:rsidRPr="00842BC2">
        <w:rPr>
          <w:lang w:val="en-US"/>
        </w:rPr>
        <w:t xml:space="preserve">, M.Y. </w:t>
      </w:r>
      <w:proofErr w:type="spellStart"/>
      <w:r w:rsidRPr="00842BC2">
        <w:rPr>
          <w:lang w:val="en-US"/>
        </w:rPr>
        <w:t>Dzhamaludinova</w:t>
      </w:r>
      <w:proofErr w:type="spellEnd"/>
      <w:r w:rsidRPr="00842BC2">
        <w:rPr>
          <w:lang w:val="en-US"/>
        </w:rPr>
        <w:t xml:space="preserve"> // Engineered Science. 2024. Vol. 29. P. 1093. – DOI 10.30919/es1093.</w:t>
      </w:r>
    </w:p>
    <w:p w14:paraId="0D28A381" w14:textId="2023C38C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 xml:space="preserve">Zhang, B. The Effect of Economic Policy Uncertainty on Foreign Direct Investment in the Era of Global Value Chain: Evidence from the Asian Countries / B. Zhang, J. Ma, M.A. Khan, V. </w:t>
      </w:r>
      <w:proofErr w:type="spellStart"/>
      <w:r w:rsidRPr="00842BC2">
        <w:rPr>
          <w:lang w:val="en-US"/>
        </w:rPr>
        <w:t>Repnikova</w:t>
      </w:r>
      <w:proofErr w:type="spellEnd"/>
      <w:r w:rsidRPr="00842BC2">
        <w:rPr>
          <w:lang w:val="en-US"/>
        </w:rPr>
        <w:t>, K. Shidlovskaya, S. Barykin, M.S. Ahmad // Sustainability. 2023. Vol. 15, No. 7. P. 6131. – DOI 10.3390/su15076131.</w:t>
      </w:r>
    </w:p>
    <w:p w14:paraId="6B153F09" w14:textId="590C6DBA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 xml:space="preserve">Eremeeva, A.M. Advanced </w:t>
      </w:r>
      <w:proofErr w:type="spellStart"/>
      <w:r w:rsidRPr="00842BC2">
        <w:rPr>
          <w:lang w:val="en-US"/>
        </w:rPr>
        <w:t>Hydroprocessing</w:t>
      </w:r>
      <w:proofErr w:type="spellEnd"/>
      <w:r w:rsidRPr="00842BC2">
        <w:rPr>
          <w:lang w:val="en-US"/>
        </w:rPr>
        <w:t xml:space="preserve"> Technology for Sustainable Diesel: Hydrotreatment of Renewable and Fossil Feedstocks / A.M. Eremeeva, Y.A. Chumachenko, A.F. Khasanov, I.L. Oleynik // Bioresource Technology Reports. 2026. Vol. 33. P. 102499. – DOI 10.1016/j.biteb.2025.102499.</w:t>
      </w:r>
    </w:p>
    <w:p w14:paraId="29203ECC" w14:textId="28481C6A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Eremeeva</w:t>
      </w:r>
      <w:proofErr w:type="spellEnd"/>
      <w:r w:rsidRPr="00842BC2">
        <w:rPr>
          <w:lang w:val="en-US"/>
        </w:rPr>
        <w:t xml:space="preserve">, A.M. Recycling of Waste Cooking Oils into a Biodiesel Fuel: Kinetics and Analysis / A.M. </w:t>
      </w:r>
      <w:proofErr w:type="spellStart"/>
      <w:r w:rsidRPr="00842BC2">
        <w:rPr>
          <w:lang w:val="en-US"/>
        </w:rPr>
        <w:t>Eremeeva</w:t>
      </w:r>
      <w:proofErr w:type="spellEnd"/>
      <w:r w:rsidRPr="00842BC2">
        <w:rPr>
          <w:lang w:val="en-US"/>
        </w:rPr>
        <w:t xml:space="preserve">, A.R. </w:t>
      </w:r>
      <w:proofErr w:type="spellStart"/>
      <w:r w:rsidRPr="00842BC2">
        <w:rPr>
          <w:lang w:val="en-US"/>
        </w:rPr>
        <w:t>Marinets</w:t>
      </w:r>
      <w:proofErr w:type="spellEnd"/>
      <w:r w:rsidRPr="00842BC2">
        <w:rPr>
          <w:lang w:val="en-US"/>
        </w:rPr>
        <w:t xml:space="preserve">, I.L. </w:t>
      </w:r>
      <w:proofErr w:type="spellStart"/>
      <w:r w:rsidRPr="00842BC2">
        <w:rPr>
          <w:lang w:val="en-US"/>
        </w:rPr>
        <w:t>Oleynik</w:t>
      </w:r>
      <w:proofErr w:type="spellEnd"/>
      <w:r w:rsidRPr="00842BC2">
        <w:rPr>
          <w:lang w:val="en-US"/>
        </w:rPr>
        <w:t xml:space="preserve">, V.G. </w:t>
      </w:r>
      <w:proofErr w:type="spellStart"/>
      <w:r w:rsidRPr="00842BC2">
        <w:rPr>
          <w:lang w:val="en-US"/>
        </w:rPr>
        <w:t>Povarov</w:t>
      </w:r>
      <w:proofErr w:type="spellEnd"/>
      <w:r w:rsidRPr="00842BC2">
        <w:rPr>
          <w:lang w:val="en-US"/>
        </w:rPr>
        <w:t xml:space="preserve"> // Recycling. 2026. Vol. 11, No. 2. P. 41. – DOI 10.3390/recycling11020041.</w:t>
      </w:r>
    </w:p>
    <w:p w14:paraId="5515DBC5" w14:textId="2CC690EB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Eremeeva</w:t>
      </w:r>
      <w:proofErr w:type="spellEnd"/>
      <w:r w:rsidRPr="00842BC2">
        <w:rPr>
          <w:lang w:val="en-US"/>
        </w:rPr>
        <w:t xml:space="preserve">, A.M. Development of Biofuel as Marine Low-Viscosity Fuels with Environmentally Friendly Components / A.M. </w:t>
      </w:r>
      <w:proofErr w:type="spellStart"/>
      <w:r w:rsidRPr="00842BC2">
        <w:rPr>
          <w:lang w:val="en-US"/>
        </w:rPr>
        <w:t>Eremeeva</w:t>
      </w:r>
      <w:proofErr w:type="spellEnd"/>
      <w:r w:rsidRPr="00842BC2">
        <w:rPr>
          <w:lang w:val="en-US"/>
        </w:rPr>
        <w:t xml:space="preserve">, A.F. </w:t>
      </w:r>
      <w:proofErr w:type="spellStart"/>
      <w:r w:rsidRPr="00842BC2">
        <w:rPr>
          <w:lang w:val="en-US"/>
        </w:rPr>
        <w:t>Khasanov</w:t>
      </w:r>
      <w:proofErr w:type="spellEnd"/>
      <w:r w:rsidRPr="00842BC2">
        <w:rPr>
          <w:lang w:val="en-US"/>
        </w:rPr>
        <w:t xml:space="preserve">, I.L. </w:t>
      </w:r>
      <w:proofErr w:type="spellStart"/>
      <w:r w:rsidRPr="00842BC2">
        <w:rPr>
          <w:lang w:val="en-US"/>
        </w:rPr>
        <w:t>Oleynik</w:t>
      </w:r>
      <w:proofErr w:type="spellEnd"/>
      <w:r w:rsidRPr="00842BC2">
        <w:rPr>
          <w:lang w:val="en-US"/>
        </w:rPr>
        <w:t xml:space="preserve">, N.K. </w:t>
      </w:r>
      <w:proofErr w:type="spellStart"/>
      <w:r w:rsidRPr="00842BC2">
        <w:rPr>
          <w:lang w:val="en-US"/>
        </w:rPr>
        <w:t>Kondrasheva</w:t>
      </w:r>
      <w:proofErr w:type="spellEnd"/>
      <w:r w:rsidRPr="00842BC2">
        <w:rPr>
          <w:lang w:val="en-US"/>
        </w:rPr>
        <w:t xml:space="preserve">, A.R. </w:t>
      </w:r>
      <w:proofErr w:type="spellStart"/>
      <w:r w:rsidRPr="00842BC2">
        <w:rPr>
          <w:lang w:val="en-US"/>
        </w:rPr>
        <w:t>Marinets</w:t>
      </w:r>
      <w:proofErr w:type="spellEnd"/>
      <w:r w:rsidRPr="00842BC2">
        <w:rPr>
          <w:lang w:val="en-US"/>
        </w:rPr>
        <w:t xml:space="preserve"> // International Journal of Engineering, Transactions B: Applications. 2025. Vol. 38, No. 2. P. 273–279. – DOI 10.5829/ije.2025.38.02b.02.</w:t>
      </w:r>
    </w:p>
    <w:p w14:paraId="429CEF3B" w14:textId="64BA211A" w:rsidR="009D40DB" w:rsidRPr="00842BC2" w:rsidRDefault="009D40DB" w:rsidP="009D40DB">
      <w:pPr>
        <w:pStyle w:val="a0"/>
        <w:ind w:left="289" w:hanging="289"/>
        <w:rPr>
          <w:lang w:val="en-US"/>
        </w:rPr>
      </w:pPr>
      <w:r w:rsidRPr="00842BC2">
        <w:rPr>
          <w:lang w:val="en-US"/>
        </w:rPr>
        <w:t xml:space="preserve">Savelyev, D.S. Effects of Competitive Martial Arts on First-Year Students’ Psychophysiological Potential / D.S. Savelyev, S.A. Sidorenko // Theory and Practice of Physical Culture. 2017. No. 5. </w:t>
      </w:r>
      <w:r w:rsidR="00A51660">
        <w:rPr>
          <w:lang w:val="en-US"/>
        </w:rPr>
        <w:t>P.</w:t>
      </w:r>
      <w:r w:rsidR="00A51660">
        <w:t> </w:t>
      </w:r>
      <w:r w:rsidRPr="00842BC2">
        <w:rPr>
          <w:lang w:val="en-US"/>
        </w:rPr>
        <w:t>43–45.</w:t>
      </w:r>
    </w:p>
    <w:p w14:paraId="19927C08" w14:textId="5429CDAE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Ilyushin</w:t>
      </w:r>
      <w:proofErr w:type="spellEnd"/>
      <w:r w:rsidRPr="00842BC2">
        <w:rPr>
          <w:lang w:val="en-US"/>
        </w:rPr>
        <w:t xml:space="preserve">, Y.V. Development of a Mathematical Model of the Electromagnetic Field Formation Process Based on System Analysis Methods / Y.V. </w:t>
      </w:r>
      <w:proofErr w:type="spellStart"/>
      <w:r w:rsidRPr="00842BC2">
        <w:rPr>
          <w:lang w:val="en-US"/>
        </w:rPr>
        <w:t>Ilyushin</w:t>
      </w:r>
      <w:proofErr w:type="spellEnd"/>
      <w:r w:rsidRPr="00842BC2">
        <w:rPr>
          <w:lang w:val="en-US"/>
        </w:rPr>
        <w:t xml:space="preserve">, E.A. </w:t>
      </w:r>
      <w:proofErr w:type="spellStart"/>
      <w:r w:rsidRPr="00842BC2">
        <w:rPr>
          <w:lang w:val="en-US"/>
        </w:rPr>
        <w:t>Boronko</w:t>
      </w:r>
      <w:proofErr w:type="spellEnd"/>
      <w:r w:rsidRPr="00842BC2">
        <w:rPr>
          <w:lang w:val="en-US"/>
        </w:rPr>
        <w:t xml:space="preserve"> // Mathematics. 2026. Vol. 14, No. 3. P. 399. – DOI 10.3390/math14030399.</w:t>
      </w:r>
    </w:p>
    <w:p w14:paraId="18E92363" w14:textId="1F0321D2" w:rsidR="009D40DB" w:rsidRPr="00842BC2" w:rsidRDefault="009D40DB" w:rsidP="009D40DB">
      <w:pPr>
        <w:pStyle w:val="a0"/>
        <w:ind w:left="289" w:hanging="289"/>
        <w:rPr>
          <w:lang w:val="en-US"/>
        </w:rPr>
      </w:pPr>
      <w:proofErr w:type="spellStart"/>
      <w:r w:rsidRPr="00842BC2">
        <w:rPr>
          <w:lang w:val="en-US"/>
        </w:rPr>
        <w:t>Marinina</w:t>
      </w:r>
      <w:proofErr w:type="spellEnd"/>
      <w:r w:rsidRPr="00842BC2">
        <w:rPr>
          <w:lang w:val="en-US"/>
        </w:rPr>
        <w:t xml:space="preserve">, O.A. Methodological Approach to Economic Assessment of Losses of Balance Coal Reserves / O.A. </w:t>
      </w:r>
      <w:proofErr w:type="spellStart"/>
      <w:r w:rsidRPr="00842BC2">
        <w:rPr>
          <w:lang w:val="en-US"/>
        </w:rPr>
        <w:t>Marinina</w:t>
      </w:r>
      <w:proofErr w:type="spellEnd"/>
      <w:r w:rsidRPr="00842BC2">
        <w:rPr>
          <w:lang w:val="en-US"/>
        </w:rPr>
        <w:t xml:space="preserve"> // Mining Informational and Analytical Bulletin. 2025. No. 11-1. P. 183–197. – DOI 10.25018/0236_1493_2025_111_0_183</w:t>
      </w:r>
      <w:r w:rsidR="00374BB0" w:rsidRPr="00842BC2">
        <w:rPr>
          <w:lang w:val="en-US"/>
        </w:rPr>
        <w:t>.</w:t>
      </w:r>
    </w:p>
    <w:p w14:paraId="428F779F" w14:textId="2525ED36" w:rsidR="0009703A" w:rsidRDefault="00374BB0" w:rsidP="009D40DB">
      <w:pPr>
        <w:pStyle w:val="a0"/>
        <w:ind w:left="289" w:hanging="289"/>
      </w:pPr>
      <w:proofErr w:type="spellStart"/>
      <w:r w:rsidRPr="00842BC2">
        <w:rPr>
          <w:lang w:val="en-US"/>
        </w:rPr>
        <w:t>Martynenko</w:t>
      </w:r>
      <w:proofErr w:type="spellEnd"/>
      <w:r w:rsidRPr="00842BC2">
        <w:rPr>
          <w:lang w:val="en-US"/>
        </w:rPr>
        <w:t xml:space="preserve">, Y.V. Effect of Motive Pressure on Ejector Entrainment Capacity / Y.V. </w:t>
      </w:r>
      <w:proofErr w:type="spellStart"/>
      <w:r w:rsidRPr="00842BC2">
        <w:rPr>
          <w:lang w:val="en-US"/>
        </w:rPr>
        <w:t>Martynenko</w:t>
      </w:r>
      <w:proofErr w:type="spellEnd"/>
      <w:r w:rsidRPr="00842BC2">
        <w:rPr>
          <w:lang w:val="en-US"/>
        </w:rPr>
        <w:t xml:space="preserve">, V.I. </w:t>
      </w:r>
      <w:proofErr w:type="spellStart"/>
      <w:r w:rsidRPr="00842BC2">
        <w:rPr>
          <w:lang w:val="en-US"/>
        </w:rPr>
        <w:t>Bolobov</w:t>
      </w:r>
      <w:proofErr w:type="spellEnd"/>
      <w:r w:rsidRPr="00842BC2">
        <w:rPr>
          <w:lang w:val="en-US"/>
        </w:rPr>
        <w:t xml:space="preserve"> // International Journal of Engineering, Transactions A: Basics. 2026. Vol. 39, No. 4. P. 841–848. – DOI 10.5829/ije.2026.39.04a.03.</w:t>
      </w:r>
    </w:p>
    <w:p w14:paraId="62C46A3F" w14:textId="77777777" w:rsidR="00A51660" w:rsidRPr="00A51660" w:rsidRDefault="00A51660" w:rsidP="00A51660">
      <w:pPr>
        <w:sectPr w:rsidR="00A51660" w:rsidRPr="00A51660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781DA3A" w14:textId="77777777" w:rsidR="00786266" w:rsidRPr="00842BC2" w:rsidRDefault="00786266" w:rsidP="00A36BC3">
      <w:pPr>
        <w:rPr>
          <w:rFonts w:eastAsia="MS Mincho"/>
          <w:lang w:val="en-US"/>
        </w:rPr>
      </w:pPr>
    </w:p>
    <w:sectPr w:rsidR="00786266" w:rsidRPr="00842BC2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22"/>
    <w:lvlOverride w:ilvl="0">
      <w:startOverride w:val="1"/>
    </w:lvlOverride>
  </w:num>
  <w:num w:numId="36">
    <w:abstractNumId w:val="14"/>
  </w:num>
  <w:num w:numId="37">
    <w:abstractNumId w:val="1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21734"/>
    <w:rsid w:val="00052062"/>
    <w:rsid w:val="00084F76"/>
    <w:rsid w:val="0009703A"/>
    <w:rsid w:val="000B7C1A"/>
    <w:rsid w:val="000D277F"/>
    <w:rsid w:val="00104319"/>
    <w:rsid w:val="0013123C"/>
    <w:rsid w:val="00146C75"/>
    <w:rsid w:val="0017107E"/>
    <w:rsid w:val="00192345"/>
    <w:rsid w:val="001E04E7"/>
    <w:rsid w:val="00201707"/>
    <w:rsid w:val="00205038"/>
    <w:rsid w:val="00211E38"/>
    <w:rsid w:val="002278FD"/>
    <w:rsid w:val="00244066"/>
    <w:rsid w:val="00252F87"/>
    <w:rsid w:val="0026429B"/>
    <w:rsid w:val="002D540B"/>
    <w:rsid w:val="002E5CD2"/>
    <w:rsid w:val="003016AB"/>
    <w:rsid w:val="003018B8"/>
    <w:rsid w:val="003378F6"/>
    <w:rsid w:val="00337EC1"/>
    <w:rsid w:val="00373376"/>
    <w:rsid w:val="00374BB0"/>
    <w:rsid w:val="003915FB"/>
    <w:rsid w:val="003D5558"/>
    <w:rsid w:val="003D785D"/>
    <w:rsid w:val="003F46B5"/>
    <w:rsid w:val="004165FC"/>
    <w:rsid w:val="00420452"/>
    <w:rsid w:val="0047652D"/>
    <w:rsid w:val="004A3241"/>
    <w:rsid w:val="004B14C2"/>
    <w:rsid w:val="004C40DB"/>
    <w:rsid w:val="004D18D5"/>
    <w:rsid w:val="004D7E92"/>
    <w:rsid w:val="004E311A"/>
    <w:rsid w:val="00502710"/>
    <w:rsid w:val="00513FA2"/>
    <w:rsid w:val="00520D87"/>
    <w:rsid w:val="00533E64"/>
    <w:rsid w:val="00535924"/>
    <w:rsid w:val="005630E7"/>
    <w:rsid w:val="00574365"/>
    <w:rsid w:val="005963D0"/>
    <w:rsid w:val="005A387B"/>
    <w:rsid w:val="005B74C9"/>
    <w:rsid w:val="005F0488"/>
    <w:rsid w:val="00602F5E"/>
    <w:rsid w:val="00694E27"/>
    <w:rsid w:val="006A7B58"/>
    <w:rsid w:val="006B5132"/>
    <w:rsid w:val="006D605D"/>
    <w:rsid w:val="006F4178"/>
    <w:rsid w:val="00711520"/>
    <w:rsid w:val="00715730"/>
    <w:rsid w:val="0071573A"/>
    <w:rsid w:val="007316B2"/>
    <w:rsid w:val="00751F79"/>
    <w:rsid w:val="00786266"/>
    <w:rsid w:val="00791CA2"/>
    <w:rsid w:val="007928BD"/>
    <w:rsid w:val="00796777"/>
    <w:rsid w:val="007B6A69"/>
    <w:rsid w:val="007E1AB2"/>
    <w:rsid w:val="007E50E5"/>
    <w:rsid w:val="007E6CCE"/>
    <w:rsid w:val="00842BC2"/>
    <w:rsid w:val="0087270B"/>
    <w:rsid w:val="00877802"/>
    <w:rsid w:val="008834FE"/>
    <w:rsid w:val="00891520"/>
    <w:rsid w:val="008928BF"/>
    <w:rsid w:val="008B6949"/>
    <w:rsid w:val="008C64AA"/>
    <w:rsid w:val="008D7449"/>
    <w:rsid w:val="008E16F8"/>
    <w:rsid w:val="00904AB6"/>
    <w:rsid w:val="00940220"/>
    <w:rsid w:val="009413DA"/>
    <w:rsid w:val="009417F1"/>
    <w:rsid w:val="009946AA"/>
    <w:rsid w:val="0099583F"/>
    <w:rsid w:val="009D40DB"/>
    <w:rsid w:val="009D5069"/>
    <w:rsid w:val="009F446D"/>
    <w:rsid w:val="00A25034"/>
    <w:rsid w:val="00A36BC3"/>
    <w:rsid w:val="00A51489"/>
    <w:rsid w:val="00A51660"/>
    <w:rsid w:val="00AA44CE"/>
    <w:rsid w:val="00AC08AA"/>
    <w:rsid w:val="00AE078E"/>
    <w:rsid w:val="00AE6C42"/>
    <w:rsid w:val="00AF069A"/>
    <w:rsid w:val="00B15E8A"/>
    <w:rsid w:val="00B77B07"/>
    <w:rsid w:val="00B87526"/>
    <w:rsid w:val="00BB667A"/>
    <w:rsid w:val="00BD2BC3"/>
    <w:rsid w:val="00BF1FAA"/>
    <w:rsid w:val="00BF5A23"/>
    <w:rsid w:val="00C2523D"/>
    <w:rsid w:val="00C44EA8"/>
    <w:rsid w:val="00C75264"/>
    <w:rsid w:val="00C903D0"/>
    <w:rsid w:val="00C9188D"/>
    <w:rsid w:val="00CC6D5A"/>
    <w:rsid w:val="00CD1CD9"/>
    <w:rsid w:val="00D20537"/>
    <w:rsid w:val="00D27375"/>
    <w:rsid w:val="00D6015F"/>
    <w:rsid w:val="00D80951"/>
    <w:rsid w:val="00D936D7"/>
    <w:rsid w:val="00D975FC"/>
    <w:rsid w:val="00DA17EA"/>
    <w:rsid w:val="00DA384F"/>
    <w:rsid w:val="00DA480C"/>
    <w:rsid w:val="00DD46CB"/>
    <w:rsid w:val="00DF21B8"/>
    <w:rsid w:val="00E018D0"/>
    <w:rsid w:val="00E152C5"/>
    <w:rsid w:val="00E362BD"/>
    <w:rsid w:val="00E756FA"/>
    <w:rsid w:val="00E914E1"/>
    <w:rsid w:val="00EA748D"/>
    <w:rsid w:val="00EC44A2"/>
    <w:rsid w:val="00ED57CE"/>
    <w:rsid w:val="00F05068"/>
    <w:rsid w:val="00F06CE1"/>
    <w:rsid w:val="00F074EC"/>
    <w:rsid w:val="00F1056E"/>
    <w:rsid w:val="00F105F3"/>
    <w:rsid w:val="00F12626"/>
    <w:rsid w:val="00F20F9D"/>
    <w:rsid w:val="00F23F01"/>
    <w:rsid w:val="00F34BE6"/>
    <w:rsid w:val="00F720B1"/>
    <w:rsid w:val="00FD3A3C"/>
    <w:rsid w:val="00FE1198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B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FE1F51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17107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17107E"/>
    <w:rPr>
      <w:color w:val="605E5C"/>
      <w:shd w:val="clear" w:color="auto" w:fill="E1DFDD"/>
    </w:rPr>
  </w:style>
  <w:style w:type="paragraph" w:customStyle="1" w:styleId="Author">
    <w:name w:val="Author"/>
    <w:rsid w:val="00891520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 w:eastAsia="en-US"/>
    </w:rPr>
  </w:style>
  <w:style w:type="paragraph" w:styleId="af5">
    <w:name w:val="Normal (Web)"/>
    <w:basedOn w:val="a2"/>
    <w:uiPriority w:val="99"/>
    <w:semiHidden/>
    <w:unhideWhenUsed/>
    <w:rsid w:val="00C44EA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 Spacing"/>
    <w:aliases w:val="текст"/>
    <w:uiPriority w:val="1"/>
    <w:qFormat/>
    <w:rsid w:val="00DF21B8"/>
    <w:pPr>
      <w:spacing w:after="0" w:line="240" w:lineRule="auto"/>
      <w:ind w:firstLine="709"/>
      <w:jc w:val="both"/>
    </w:pPr>
    <w:rPr>
      <w:rFonts w:ascii="Times New Roman" w:eastAsiaTheme="minorHAnsi" w:hAnsi="Times New Roman"/>
      <w:kern w:val="2"/>
      <w:sz w:val="20"/>
      <w:szCs w:val="24"/>
      <w:lang w:eastAsia="en-US"/>
    </w:rPr>
  </w:style>
  <w:style w:type="character" w:styleId="af7">
    <w:name w:val="Strong"/>
    <w:basedOn w:val="a4"/>
    <w:uiPriority w:val="22"/>
    <w:qFormat/>
    <w:rsid w:val="00DF21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FE1F51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17107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17107E"/>
    <w:rPr>
      <w:color w:val="605E5C"/>
      <w:shd w:val="clear" w:color="auto" w:fill="E1DFDD"/>
    </w:rPr>
  </w:style>
  <w:style w:type="paragraph" w:customStyle="1" w:styleId="Author">
    <w:name w:val="Author"/>
    <w:rsid w:val="00891520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 w:eastAsia="en-US"/>
    </w:rPr>
  </w:style>
  <w:style w:type="paragraph" w:styleId="af5">
    <w:name w:val="Normal (Web)"/>
    <w:basedOn w:val="a2"/>
    <w:uiPriority w:val="99"/>
    <w:semiHidden/>
    <w:unhideWhenUsed/>
    <w:rsid w:val="00C44EA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 Spacing"/>
    <w:aliases w:val="текст"/>
    <w:uiPriority w:val="1"/>
    <w:qFormat/>
    <w:rsid w:val="00DF21B8"/>
    <w:pPr>
      <w:spacing w:after="0" w:line="240" w:lineRule="auto"/>
      <w:ind w:firstLine="709"/>
      <w:jc w:val="both"/>
    </w:pPr>
    <w:rPr>
      <w:rFonts w:ascii="Times New Roman" w:eastAsiaTheme="minorHAnsi" w:hAnsi="Times New Roman"/>
      <w:kern w:val="2"/>
      <w:sz w:val="20"/>
      <w:szCs w:val="24"/>
      <w:lang w:eastAsia="en-US"/>
    </w:rPr>
  </w:style>
  <w:style w:type="character" w:styleId="af7">
    <w:name w:val="Strong"/>
    <w:basedOn w:val="a4"/>
    <w:uiPriority w:val="22"/>
    <w:qFormat/>
    <w:rsid w:val="00DF2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iyqxx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e@hatrus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336-EB53-4C97-BD98-5A7EFDD5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2026-05-04T08:32:00Z</dcterms:created>
  <dcterms:modified xsi:type="dcterms:W3CDTF">2026-05-04T08:32:00Z</dcterms:modified>
</cp:coreProperties>
</file>